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jc w:val="center"/>
        <w:rPr>
          <w:rFonts w:ascii="宋体" w:hAnsi="宋体"/>
          <w:b/>
          <w:sz w:val="84"/>
          <w:szCs w:val="84"/>
        </w:rPr>
      </w:pPr>
    </w:p>
    <w:p>
      <w:pPr>
        <w:spacing w:line="400" w:lineRule="exact"/>
        <w:jc w:val="center"/>
        <w:rPr>
          <w:rFonts w:ascii="宋体" w:hAnsi="宋体"/>
          <w:b/>
          <w:sz w:val="84"/>
          <w:szCs w:val="84"/>
        </w:rPr>
      </w:pPr>
    </w:p>
    <w:p>
      <w:pPr>
        <w:spacing w:beforeLines="100" w:line="900" w:lineRule="exact"/>
        <w:jc w:val="center"/>
        <w:rPr>
          <w:rFonts w:ascii="宋体" w:hAnsi="宋体"/>
          <w:b/>
          <w:sz w:val="84"/>
          <w:szCs w:val="84"/>
        </w:rPr>
      </w:pPr>
      <w:r>
        <w:rPr>
          <w:rFonts w:hint="eastAsia" w:ascii="宋体" w:hAnsi="宋体"/>
          <w:b/>
          <w:sz w:val="84"/>
          <w:szCs w:val="84"/>
        </w:rPr>
        <w:t>湖南工程学院采购</w:t>
      </w:r>
    </w:p>
    <w:p>
      <w:pPr>
        <w:spacing w:beforeLines="100" w:line="900" w:lineRule="exact"/>
        <w:jc w:val="center"/>
        <w:rPr>
          <w:rFonts w:ascii="宋体" w:hAnsi="宋体"/>
          <w:b/>
          <w:sz w:val="84"/>
          <w:szCs w:val="84"/>
        </w:rPr>
      </w:pPr>
      <w:r>
        <w:rPr>
          <w:rFonts w:hint="eastAsia" w:ascii="宋体" w:hAnsi="宋体"/>
          <w:b/>
          <w:sz w:val="84"/>
          <w:szCs w:val="84"/>
        </w:rPr>
        <w:t>公开招标文件</w:t>
      </w:r>
    </w:p>
    <w:p>
      <w:pPr>
        <w:jc w:val="center"/>
        <w:rPr>
          <w:rFonts w:ascii="宋体" w:hAnsi="宋体"/>
          <w:sz w:val="32"/>
          <w:szCs w:val="32"/>
        </w:rPr>
      </w:pPr>
    </w:p>
    <w:p>
      <w:pPr>
        <w:spacing w:line="880" w:lineRule="exact"/>
        <w:rPr>
          <w:rFonts w:ascii="宋体" w:hAnsi="宋体"/>
          <w:sz w:val="52"/>
        </w:rPr>
      </w:pPr>
    </w:p>
    <w:p>
      <w:pPr>
        <w:spacing w:line="880" w:lineRule="exact"/>
        <w:rPr>
          <w:rFonts w:ascii="宋体" w:hAnsi="宋体"/>
          <w:sz w:val="52"/>
        </w:rPr>
      </w:pPr>
    </w:p>
    <w:p>
      <w:pPr>
        <w:spacing w:line="740" w:lineRule="exact"/>
        <w:ind w:left="105" w:leftChars="50" w:right="105" w:rightChars="50" w:firstLine="340" w:firstLineChars="100"/>
        <w:rPr>
          <w:rFonts w:ascii="宋体" w:hAnsi="宋体"/>
          <w:color w:val="auto"/>
          <w:sz w:val="32"/>
          <w:szCs w:val="32"/>
        </w:rPr>
      </w:pPr>
      <w:r>
        <w:rPr>
          <w:rFonts w:hint="eastAsia" w:ascii="宋体" w:hAnsi="宋体"/>
          <w:spacing w:val="10"/>
          <w:sz w:val="32"/>
          <w:szCs w:val="32"/>
        </w:rPr>
        <w:t xml:space="preserve">     </w:t>
      </w:r>
      <w:r>
        <w:rPr>
          <w:rFonts w:hint="eastAsia" w:ascii="宋体" w:hAnsi="宋体"/>
          <w:b/>
          <w:bCs/>
          <w:color w:val="auto"/>
          <w:spacing w:val="10"/>
          <w:sz w:val="32"/>
          <w:szCs w:val="32"/>
        </w:rPr>
        <w:t>项目编号</w:t>
      </w:r>
      <w:r>
        <w:rPr>
          <w:rFonts w:hint="eastAsia" w:ascii="宋体" w:hAnsi="宋体"/>
          <w:color w:val="auto"/>
          <w:spacing w:val="10"/>
          <w:sz w:val="32"/>
          <w:szCs w:val="32"/>
        </w:rPr>
        <w:t>：HGGZ[2018]1024号</w:t>
      </w:r>
    </w:p>
    <w:p>
      <w:pPr>
        <w:spacing w:line="740" w:lineRule="exact"/>
        <w:ind w:left="2701" w:leftChars="230" w:right="105" w:rightChars="50" w:hanging="2218" w:hangingChars="650"/>
        <w:jc w:val="center"/>
        <w:rPr>
          <w:rFonts w:ascii="宋体" w:hAnsi="宋体"/>
          <w:b/>
          <w:bCs/>
          <w:color w:val="auto"/>
          <w:spacing w:val="10"/>
          <w:sz w:val="32"/>
          <w:szCs w:val="32"/>
        </w:rPr>
      </w:pPr>
      <w:r>
        <w:rPr>
          <w:rFonts w:hint="eastAsia" w:ascii="宋体" w:hAnsi="宋体"/>
          <w:b/>
          <w:bCs/>
          <w:color w:val="auto"/>
          <w:spacing w:val="10"/>
          <w:sz w:val="32"/>
          <w:szCs w:val="32"/>
        </w:rPr>
        <w:t xml:space="preserve">   项目名称：实验室废弃物暂存柜设备采购项目</w:t>
      </w:r>
    </w:p>
    <w:p>
      <w:pPr>
        <w:spacing w:line="720" w:lineRule="atLeast"/>
        <w:ind w:left="104" w:hanging="104" w:hangingChars="29"/>
        <w:rPr>
          <w:rFonts w:ascii="宋体" w:hAnsi="宋体"/>
          <w:color w:val="auto"/>
          <w:sz w:val="36"/>
          <w:szCs w:val="36"/>
        </w:rPr>
      </w:pPr>
    </w:p>
    <w:p>
      <w:pPr>
        <w:spacing w:line="880" w:lineRule="exact"/>
        <w:ind w:left="190"/>
        <w:jc w:val="left"/>
        <w:rPr>
          <w:rFonts w:ascii="宋体" w:hAnsi="宋体"/>
          <w:color w:val="auto"/>
          <w:sz w:val="36"/>
          <w:szCs w:val="36"/>
        </w:rPr>
      </w:pPr>
    </w:p>
    <w:p>
      <w:pPr>
        <w:jc w:val="left"/>
        <w:rPr>
          <w:rFonts w:ascii="宋体" w:hAnsi="宋体"/>
          <w:color w:val="auto"/>
          <w:sz w:val="36"/>
          <w:szCs w:val="36"/>
        </w:rPr>
      </w:pPr>
    </w:p>
    <w:p>
      <w:pPr>
        <w:jc w:val="left"/>
        <w:rPr>
          <w:rFonts w:ascii="宋体" w:hAnsi="宋体"/>
          <w:color w:val="auto"/>
          <w:sz w:val="52"/>
        </w:rPr>
      </w:pPr>
    </w:p>
    <w:p>
      <w:pPr>
        <w:pStyle w:val="68"/>
        <w:spacing w:line="720" w:lineRule="auto"/>
        <w:ind w:firstLine="116" w:firstLineChars="28"/>
        <w:rPr>
          <w:rFonts w:ascii="宋体" w:hAnsi="宋体" w:eastAsia="宋体"/>
          <w:bCs/>
          <w:color w:val="auto"/>
          <w:spacing w:val="30"/>
        </w:rPr>
      </w:pPr>
      <w:r>
        <w:rPr>
          <w:rFonts w:hint="eastAsia" w:ascii="宋体" w:hAnsi="宋体" w:eastAsia="宋体"/>
          <w:color w:val="auto"/>
          <w:spacing w:val="26"/>
          <w:sz w:val="36"/>
          <w:szCs w:val="36"/>
        </w:rPr>
        <w:t>湖南工程学院</w:t>
      </w:r>
    </w:p>
    <w:p>
      <w:pPr>
        <w:widowControl/>
        <w:spacing w:line="720" w:lineRule="auto"/>
        <w:jc w:val="center"/>
        <w:rPr>
          <w:rFonts w:ascii="宋体" w:hAnsi="宋体"/>
          <w:color w:val="auto"/>
          <w:sz w:val="52"/>
        </w:rPr>
      </w:pPr>
      <w:r>
        <w:rPr>
          <w:rFonts w:hint="eastAsia" w:ascii="宋体" w:hAnsi="宋体" w:cs="宋体"/>
          <w:b/>
          <w:bCs/>
          <w:color w:val="auto"/>
          <w:kern w:val="0"/>
          <w:sz w:val="32"/>
          <w:szCs w:val="32"/>
        </w:rPr>
        <w:t>二○一八年十月</w:t>
      </w:r>
    </w:p>
    <w:p>
      <w:pPr>
        <w:spacing w:line="420" w:lineRule="atLeast"/>
        <w:jc w:val="center"/>
        <w:rPr>
          <w:rFonts w:ascii="宋体" w:hAnsi="宋体"/>
          <w:b/>
          <w:bCs/>
          <w:color w:val="auto"/>
          <w:sz w:val="32"/>
        </w:rPr>
      </w:pPr>
    </w:p>
    <w:p>
      <w:pPr>
        <w:spacing w:line="420" w:lineRule="atLeast"/>
        <w:rPr>
          <w:rFonts w:ascii="宋体" w:hAnsi="宋体"/>
          <w:b/>
          <w:bCs/>
          <w:color w:val="auto"/>
          <w:sz w:val="32"/>
        </w:rPr>
        <w:sectPr>
          <w:footerReference r:id="rId3" w:type="default"/>
          <w:footerReference r:id="rId4" w:type="even"/>
          <w:type w:val="nextColumn"/>
          <w:pgSz w:w="11906" w:h="16838"/>
          <w:pgMar w:top="1440" w:right="1486" w:bottom="1440" w:left="1800" w:header="851" w:footer="992" w:gutter="0"/>
          <w:paperSrc w:first="7" w:other="7"/>
          <w:pgNumType w:start="1"/>
          <w:cols w:space="720" w:num="1"/>
          <w:docGrid w:type="lines" w:linePitch="312" w:charSpace="0"/>
        </w:sectPr>
      </w:pPr>
    </w:p>
    <w:p>
      <w:pPr>
        <w:adjustRightInd w:val="0"/>
        <w:snapToGrid w:val="0"/>
        <w:spacing w:beforeLines="150" w:afterLines="150" w:line="460" w:lineRule="atLeast"/>
        <w:ind w:left="726" w:hanging="726"/>
        <w:jc w:val="center"/>
        <w:rPr>
          <w:rFonts w:ascii="宋体" w:hAnsi="宋体"/>
          <w:b/>
          <w:color w:val="auto"/>
          <w:sz w:val="44"/>
          <w:szCs w:val="44"/>
        </w:rPr>
      </w:pPr>
      <w:r>
        <w:rPr>
          <w:rFonts w:hint="eastAsia" w:ascii="宋体" w:hAnsi="宋体"/>
          <w:b/>
          <w:color w:val="auto"/>
          <w:sz w:val="44"/>
          <w:szCs w:val="44"/>
        </w:rPr>
        <w:t>投标人须知前附表</w:t>
      </w:r>
    </w:p>
    <w:tbl>
      <w:tblPr>
        <w:tblStyle w:val="47"/>
        <w:tblW w:w="856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75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6" w:hRule="atLeast"/>
        </w:trPr>
        <w:tc>
          <w:tcPr>
            <w:tcW w:w="1008" w:type="dxa"/>
            <w:vAlign w:val="center"/>
          </w:tcPr>
          <w:p>
            <w:pPr>
              <w:spacing w:line="400" w:lineRule="atLeast"/>
              <w:jc w:val="center"/>
              <w:rPr>
                <w:rFonts w:ascii="宋体" w:hAnsi="宋体"/>
                <w:b/>
                <w:color w:val="auto"/>
                <w:sz w:val="24"/>
              </w:rPr>
            </w:pPr>
            <w:r>
              <w:rPr>
                <w:rFonts w:hint="eastAsia" w:ascii="宋体" w:hAnsi="宋体"/>
                <w:b/>
                <w:color w:val="auto"/>
                <w:sz w:val="24"/>
              </w:rPr>
              <w:t>序号</w:t>
            </w:r>
          </w:p>
        </w:tc>
        <w:tc>
          <w:tcPr>
            <w:tcW w:w="7560" w:type="dxa"/>
            <w:vAlign w:val="center"/>
          </w:tcPr>
          <w:p>
            <w:pPr>
              <w:spacing w:line="400" w:lineRule="atLeast"/>
              <w:jc w:val="center"/>
              <w:rPr>
                <w:rFonts w:ascii="宋体" w:hAnsi="宋体"/>
                <w:b/>
                <w:color w:val="auto"/>
                <w:sz w:val="24"/>
              </w:rPr>
            </w:pPr>
            <w:r>
              <w:rPr>
                <w:rFonts w:hint="eastAsia" w:ascii="宋体" w:hAnsi="宋体"/>
                <w:b/>
                <w:color w:val="auto"/>
                <w:sz w:val="24"/>
              </w:rPr>
              <w:t>内  容  及  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1008" w:type="dxa"/>
            <w:vAlign w:val="center"/>
          </w:tcPr>
          <w:p>
            <w:pPr>
              <w:numPr>
                <w:ilvl w:val="0"/>
                <w:numId w:val="2"/>
              </w:numPr>
              <w:spacing w:line="400" w:lineRule="atLeast"/>
              <w:ind w:hanging="397"/>
              <w:jc w:val="center"/>
              <w:rPr>
                <w:rFonts w:ascii="宋体" w:hAnsi="宋体"/>
                <w:color w:val="auto"/>
                <w:szCs w:val="21"/>
              </w:rPr>
            </w:pPr>
          </w:p>
        </w:tc>
        <w:tc>
          <w:tcPr>
            <w:tcW w:w="7560" w:type="dxa"/>
            <w:vAlign w:val="center"/>
          </w:tcPr>
          <w:p>
            <w:pPr>
              <w:ind w:left="150" w:leftChars="-500" w:hanging="1200" w:hangingChars="5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招标内容招标内容：实验室废弃物暂存柜设备采购项目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1008" w:type="dxa"/>
            <w:vAlign w:val="center"/>
          </w:tcPr>
          <w:p>
            <w:pPr>
              <w:numPr>
                <w:ilvl w:val="0"/>
                <w:numId w:val="2"/>
              </w:numPr>
              <w:spacing w:line="400" w:lineRule="atLeast"/>
              <w:ind w:hanging="397"/>
              <w:jc w:val="center"/>
              <w:rPr>
                <w:rFonts w:ascii="宋体" w:hAnsi="宋体"/>
                <w:color w:val="auto"/>
                <w:szCs w:val="21"/>
              </w:rPr>
            </w:pPr>
          </w:p>
        </w:tc>
        <w:tc>
          <w:tcPr>
            <w:tcW w:w="7560" w:type="dxa"/>
            <w:vAlign w:val="center"/>
          </w:tcPr>
          <w:p>
            <w:pPr>
              <w:spacing w:line="400" w:lineRule="atLeas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投标文件递交时间：2018年11月16日上午8：30～9：00时（北京时间）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1008" w:type="dxa"/>
            <w:vAlign w:val="center"/>
          </w:tcPr>
          <w:p>
            <w:pPr>
              <w:numPr>
                <w:ilvl w:val="0"/>
                <w:numId w:val="2"/>
              </w:numPr>
              <w:spacing w:line="400" w:lineRule="atLeast"/>
              <w:ind w:hanging="397"/>
              <w:jc w:val="center"/>
              <w:rPr>
                <w:rFonts w:ascii="宋体" w:hAnsi="宋体"/>
                <w:color w:val="auto"/>
                <w:szCs w:val="21"/>
              </w:rPr>
            </w:pPr>
          </w:p>
        </w:tc>
        <w:tc>
          <w:tcPr>
            <w:tcW w:w="7560" w:type="dxa"/>
            <w:vAlign w:val="center"/>
          </w:tcPr>
          <w:p>
            <w:pPr>
              <w:spacing w:line="400" w:lineRule="atLeas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开标时间： 2018年11月16日上午9：00时（北京时间）</w:t>
            </w:r>
          </w:p>
          <w:p>
            <w:pPr>
              <w:spacing w:line="384"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开标地点： 湖南工程学院主校区机械楼311号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1008" w:type="dxa"/>
            <w:vAlign w:val="center"/>
          </w:tcPr>
          <w:p>
            <w:pPr>
              <w:numPr>
                <w:ilvl w:val="0"/>
                <w:numId w:val="2"/>
              </w:numPr>
              <w:spacing w:line="400" w:lineRule="atLeast"/>
              <w:ind w:hanging="397"/>
              <w:jc w:val="center"/>
              <w:rPr>
                <w:rFonts w:ascii="宋体" w:hAnsi="宋体"/>
                <w:color w:val="auto"/>
                <w:szCs w:val="21"/>
              </w:rPr>
            </w:pPr>
          </w:p>
        </w:tc>
        <w:tc>
          <w:tcPr>
            <w:tcW w:w="7560" w:type="dxa"/>
            <w:vAlign w:val="center"/>
          </w:tcPr>
          <w:p>
            <w:pPr>
              <w:pStyle w:val="18"/>
              <w:adjustRightInd w:val="0"/>
              <w:snapToGrid w:val="0"/>
              <w:spacing w:line="380" w:lineRule="atLeast"/>
              <w:rPr>
                <w:rFonts w:asciiTheme="minorEastAsia" w:hAnsiTheme="minorEastAsia" w:eastAsiaTheme="minorEastAsia" w:cstheme="minorEastAsia"/>
                <w:b/>
                <w:color w:val="auto"/>
                <w:szCs w:val="24"/>
              </w:rPr>
            </w:pPr>
            <w:r>
              <w:rPr>
                <w:rFonts w:hint="eastAsia" w:asciiTheme="minorEastAsia" w:hAnsiTheme="minorEastAsia" w:eastAsiaTheme="minorEastAsia" w:cstheme="minorEastAsia"/>
                <w:color w:val="auto"/>
                <w:szCs w:val="24"/>
              </w:rPr>
              <w:t>投标文件递交至：湖南工程学院机械楼311号。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1008" w:type="dxa"/>
            <w:vAlign w:val="center"/>
          </w:tcPr>
          <w:p>
            <w:pPr>
              <w:numPr>
                <w:ilvl w:val="0"/>
                <w:numId w:val="2"/>
              </w:numPr>
              <w:spacing w:line="400" w:lineRule="atLeast"/>
              <w:ind w:hanging="397"/>
              <w:jc w:val="center"/>
              <w:rPr>
                <w:rFonts w:ascii="宋体" w:hAnsi="宋体"/>
                <w:color w:val="auto"/>
                <w:szCs w:val="21"/>
              </w:rPr>
            </w:pPr>
          </w:p>
        </w:tc>
        <w:tc>
          <w:tcPr>
            <w:tcW w:w="7560" w:type="dxa"/>
            <w:vAlign w:val="center"/>
          </w:tcPr>
          <w:p>
            <w:pPr>
              <w:spacing w:line="400" w:lineRule="atLeas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投标有效期：90天（日历日）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1008" w:type="dxa"/>
            <w:vAlign w:val="center"/>
          </w:tcPr>
          <w:p>
            <w:pPr>
              <w:numPr>
                <w:ilvl w:val="0"/>
                <w:numId w:val="2"/>
              </w:numPr>
              <w:spacing w:line="400" w:lineRule="atLeast"/>
              <w:ind w:hanging="397"/>
              <w:jc w:val="center"/>
              <w:rPr>
                <w:rFonts w:ascii="宋体" w:hAnsi="宋体"/>
                <w:color w:val="auto"/>
                <w:szCs w:val="21"/>
              </w:rPr>
            </w:pPr>
          </w:p>
        </w:tc>
        <w:tc>
          <w:tcPr>
            <w:tcW w:w="7560" w:type="dxa"/>
            <w:vAlign w:val="center"/>
          </w:tcPr>
          <w:p>
            <w:pPr>
              <w:spacing w:line="400" w:lineRule="atLeas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投标文件份数：正本1份，副本4份。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1008" w:type="dxa"/>
            <w:vAlign w:val="center"/>
          </w:tcPr>
          <w:p>
            <w:pPr>
              <w:numPr>
                <w:ilvl w:val="0"/>
                <w:numId w:val="2"/>
              </w:numPr>
              <w:spacing w:line="400" w:lineRule="atLeast"/>
              <w:ind w:hanging="397"/>
              <w:jc w:val="center"/>
              <w:rPr>
                <w:rFonts w:ascii="宋体" w:hAnsi="宋体"/>
                <w:color w:val="auto"/>
                <w:szCs w:val="21"/>
              </w:rPr>
            </w:pPr>
          </w:p>
        </w:tc>
        <w:tc>
          <w:tcPr>
            <w:tcW w:w="7560" w:type="dxa"/>
            <w:vAlign w:val="center"/>
          </w:tcPr>
          <w:p>
            <w:pPr>
              <w:spacing w:line="400" w:lineRule="atLeas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交货地：湖南工程学院</w:t>
            </w:r>
            <w:r>
              <w:rPr>
                <w:rFonts w:hint="eastAsia" w:asciiTheme="minorEastAsia" w:hAnsiTheme="minorEastAsia" w:eastAsiaTheme="minorEastAsia" w:cstheme="minorEastAsia"/>
                <w:color w:val="auto"/>
                <w:sz w:val="24"/>
                <w:u w:val="single"/>
              </w:rPr>
              <w:t>校内指定地点。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1008" w:type="dxa"/>
            <w:vAlign w:val="center"/>
          </w:tcPr>
          <w:p>
            <w:pPr>
              <w:numPr>
                <w:ilvl w:val="0"/>
                <w:numId w:val="2"/>
              </w:numPr>
              <w:spacing w:line="400" w:lineRule="atLeast"/>
              <w:ind w:hanging="397"/>
              <w:jc w:val="center"/>
              <w:rPr>
                <w:rFonts w:ascii="宋体" w:hAnsi="宋体"/>
                <w:color w:val="auto"/>
                <w:szCs w:val="21"/>
              </w:rPr>
            </w:pPr>
          </w:p>
        </w:tc>
        <w:tc>
          <w:tcPr>
            <w:tcW w:w="7560" w:type="dxa"/>
            <w:vAlign w:val="center"/>
          </w:tcPr>
          <w:p>
            <w:pPr>
              <w:spacing w:line="400" w:lineRule="atLeast"/>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交货期：按</w:t>
            </w:r>
            <w:r>
              <w:rPr>
                <w:rFonts w:hint="eastAsia" w:asciiTheme="minorEastAsia" w:hAnsiTheme="minorEastAsia" w:eastAsiaTheme="minorEastAsia" w:cstheme="minorEastAsia"/>
                <w:bCs/>
                <w:color w:val="auto"/>
                <w:sz w:val="24"/>
              </w:rPr>
              <w:t>合同双方签订的日期。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1008" w:type="dxa"/>
            <w:vAlign w:val="center"/>
          </w:tcPr>
          <w:p>
            <w:pPr>
              <w:numPr>
                <w:ilvl w:val="0"/>
                <w:numId w:val="2"/>
              </w:numPr>
              <w:spacing w:line="400" w:lineRule="atLeast"/>
              <w:ind w:hanging="397"/>
              <w:jc w:val="center"/>
              <w:rPr>
                <w:rFonts w:ascii="宋体" w:hAnsi="宋体"/>
                <w:color w:val="auto"/>
                <w:szCs w:val="21"/>
              </w:rPr>
            </w:pPr>
          </w:p>
        </w:tc>
        <w:tc>
          <w:tcPr>
            <w:tcW w:w="7560" w:type="dxa"/>
            <w:vAlign w:val="center"/>
          </w:tcPr>
          <w:p>
            <w:pPr>
              <w:spacing w:line="4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支付方式：本项目不预付货款。经用户验收合格后二十日内，凭用户验收证明单及卖方开具的发票支付货款的95%，余下5%货款作为质量保证金在质保期满后十五天内凭用户验收证明单及卖方开具的发票一次付清。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1008" w:type="dxa"/>
            <w:vAlign w:val="center"/>
          </w:tcPr>
          <w:p>
            <w:pPr>
              <w:numPr>
                <w:ilvl w:val="0"/>
                <w:numId w:val="2"/>
              </w:numPr>
              <w:spacing w:line="400" w:lineRule="atLeast"/>
              <w:ind w:hanging="397"/>
              <w:jc w:val="center"/>
              <w:rPr>
                <w:rFonts w:ascii="宋体" w:hAnsi="宋体"/>
                <w:color w:val="auto"/>
                <w:szCs w:val="21"/>
              </w:rPr>
            </w:pPr>
          </w:p>
        </w:tc>
        <w:tc>
          <w:tcPr>
            <w:tcW w:w="7560" w:type="dxa"/>
            <w:vAlign w:val="center"/>
          </w:tcPr>
          <w:p>
            <w:pPr>
              <w:spacing w:line="400" w:lineRule="exact"/>
              <w:ind w:firstLine="218" w:firstLineChars="91"/>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投标保证金伍仟元，在2018年11月16日上午9:00前由汇入湖南工程学院财务处，中标者签订合同后转为履约保证金，未中标者10个工作日无息退还。</w:t>
            </w:r>
          </w:p>
          <w:p>
            <w:pPr>
              <w:spacing w:line="400" w:lineRule="exact"/>
              <w:jc w:val="left"/>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u w:val="single"/>
              </w:rPr>
              <w:t>银行户名：湖南工程学院，账号：1904031109026409320，开户行：工</w:t>
            </w:r>
            <w:r>
              <w:rPr>
                <w:rFonts w:hint="eastAsia" w:asciiTheme="minorEastAsia" w:hAnsiTheme="minorEastAsia" w:eastAsiaTheme="minorEastAsia" w:cstheme="minorEastAsia"/>
                <w:color w:val="auto"/>
                <w:sz w:val="24"/>
              </w:rPr>
              <w:t>商银行湘潭岳塘支行，请在附言栏注明：</w:t>
            </w:r>
            <w:r>
              <w:rPr>
                <w:rFonts w:hint="eastAsia" w:asciiTheme="minorEastAsia" w:hAnsiTheme="minorEastAsia" w:eastAsiaTheme="minorEastAsia" w:cstheme="minorEastAsia"/>
                <w:b/>
                <w:bCs/>
                <w:color w:val="auto"/>
                <w:sz w:val="30"/>
                <w:szCs w:val="30"/>
              </w:rPr>
              <w:t>投标保证金+单位或个人</w:t>
            </w:r>
            <w:r>
              <w:rPr>
                <w:rFonts w:hint="eastAsia" w:asciiTheme="minorEastAsia" w:hAnsiTheme="minorEastAsia" w:eastAsiaTheme="minorEastAsia" w:cstheme="minorEastAsia"/>
                <w:b/>
                <w:bCs/>
                <w:color w:val="auto"/>
                <w:sz w:val="24"/>
              </w:rPr>
              <w:t xml:space="preserve"> </w:t>
            </w:r>
            <w:r>
              <w:rPr>
                <w:rFonts w:hint="eastAsia" w:asciiTheme="minorEastAsia" w:hAnsiTheme="minorEastAsia" w:eastAsiaTheme="minorEastAsia" w:cstheme="minorEastAsia"/>
                <w:color w:val="auto"/>
                <w:sz w:val="24"/>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1008" w:type="dxa"/>
            <w:vAlign w:val="center"/>
          </w:tcPr>
          <w:p>
            <w:pPr>
              <w:numPr>
                <w:ilvl w:val="0"/>
                <w:numId w:val="2"/>
              </w:numPr>
              <w:spacing w:line="400" w:lineRule="atLeast"/>
              <w:ind w:hanging="397"/>
              <w:jc w:val="center"/>
              <w:rPr>
                <w:rFonts w:ascii="宋体" w:hAnsi="宋体"/>
                <w:color w:val="auto"/>
                <w:szCs w:val="21"/>
              </w:rPr>
            </w:pPr>
          </w:p>
        </w:tc>
        <w:tc>
          <w:tcPr>
            <w:tcW w:w="7560" w:type="dxa"/>
            <w:vAlign w:val="center"/>
          </w:tcPr>
          <w:p>
            <w:pPr>
              <w:pStyle w:val="52"/>
              <w:widowControl w:val="0"/>
              <w:spacing w:before="62" w:after="62" w:line="240" w:lineRule="auto"/>
              <w:ind w:firstLine="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color w:val="auto"/>
                <w:sz w:val="24"/>
                <w:szCs w:val="24"/>
              </w:rPr>
              <w:t>依照国家相关法规规定，经评标小组认定，低于市场成本的恶意投标价做废标处理。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1008" w:type="dxa"/>
            <w:vAlign w:val="center"/>
          </w:tcPr>
          <w:p>
            <w:pPr>
              <w:numPr>
                <w:ilvl w:val="0"/>
                <w:numId w:val="2"/>
              </w:numPr>
              <w:spacing w:line="400" w:lineRule="atLeast"/>
              <w:ind w:hanging="397"/>
              <w:jc w:val="center"/>
              <w:rPr>
                <w:rFonts w:ascii="宋体" w:hAnsi="宋体"/>
                <w:color w:val="auto"/>
                <w:szCs w:val="21"/>
              </w:rPr>
            </w:pPr>
          </w:p>
        </w:tc>
        <w:tc>
          <w:tcPr>
            <w:tcW w:w="7560" w:type="dxa"/>
            <w:vAlign w:val="center"/>
          </w:tcPr>
          <w:p>
            <w:pPr>
              <w:pStyle w:val="52"/>
              <w:widowControl w:val="0"/>
              <w:spacing w:before="62" w:after="62" w:line="240" w:lineRule="auto"/>
              <w:ind w:firstLine="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投标人认为招标文件存在歧视性条款的，应在获取招标文件之日起3日内以书面形式向湖南工程学院采购与招标管理中心提出质疑。若无质疑，视同认可招标文件。</w:t>
            </w:r>
          </w:p>
        </w:tc>
      </w:tr>
    </w:tbl>
    <w:p>
      <w:pPr>
        <w:adjustRightInd w:val="0"/>
        <w:snapToGrid w:val="0"/>
        <w:spacing w:line="460" w:lineRule="atLeast"/>
        <w:ind w:left="723" w:hanging="723"/>
        <w:rPr>
          <w:rFonts w:ascii="宋体" w:hAnsi="宋体"/>
          <w:b/>
          <w:color w:val="auto"/>
          <w:sz w:val="48"/>
        </w:rPr>
      </w:pPr>
    </w:p>
    <w:p>
      <w:pPr>
        <w:adjustRightInd w:val="0"/>
        <w:snapToGrid w:val="0"/>
        <w:spacing w:beforeLines="150" w:afterLines="150" w:line="460" w:lineRule="atLeast"/>
        <w:ind w:left="726" w:hanging="726"/>
        <w:jc w:val="center"/>
        <w:rPr>
          <w:rFonts w:ascii="宋体" w:hAnsi="宋体"/>
          <w:b/>
          <w:color w:val="auto"/>
          <w:sz w:val="44"/>
          <w:szCs w:val="44"/>
        </w:rPr>
        <w:sectPr>
          <w:headerReference r:id="rId5" w:type="default"/>
          <w:footerReference r:id="rId6" w:type="default"/>
          <w:type w:val="nextColumn"/>
          <w:pgSz w:w="11906" w:h="16838"/>
          <w:pgMar w:top="907" w:right="1588" w:bottom="1219" w:left="1588" w:header="567" w:footer="454" w:gutter="0"/>
          <w:paperSrc w:first="1" w:other="1"/>
          <w:pgNumType w:start="1"/>
          <w:cols w:space="720" w:num="1"/>
          <w:docGrid w:linePitch="312" w:charSpace="0"/>
        </w:sectPr>
      </w:pPr>
    </w:p>
    <w:p>
      <w:pPr>
        <w:numPr>
          <w:ilvl w:val="0"/>
          <w:numId w:val="3"/>
        </w:numPr>
        <w:adjustRightInd w:val="0"/>
        <w:snapToGrid w:val="0"/>
        <w:jc w:val="center"/>
        <w:rPr>
          <w:rFonts w:ascii="宋体" w:hAnsi="宋体" w:cs="宋体"/>
          <w:b/>
          <w:color w:val="auto"/>
          <w:sz w:val="36"/>
          <w:szCs w:val="36"/>
        </w:rPr>
      </w:pPr>
      <w:bookmarkStart w:id="0" w:name="_Toc103569359"/>
      <w:bookmarkStart w:id="1" w:name="_Toc134155404"/>
      <w:bookmarkStart w:id="2" w:name="_Toc193643679"/>
      <w:bookmarkStart w:id="3" w:name="_Toc98725661"/>
      <w:bookmarkStart w:id="4" w:name="_Toc261206942"/>
      <w:bookmarkStart w:id="5" w:name="_Toc384934431"/>
      <w:r>
        <w:rPr>
          <w:rFonts w:hint="eastAsia" w:ascii="宋体" w:hAnsi="宋体" w:cs="宋体"/>
          <w:b/>
          <w:color w:val="auto"/>
          <w:sz w:val="36"/>
          <w:szCs w:val="36"/>
        </w:rPr>
        <w:t>实验室废弃物暂存柜设备采购项目</w:t>
      </w:r>
    </w:p>
    <w:p>
      <w:pPr>
        <w:adjustRightInd w:val="0"/>
        <w:snapToGrid w:val="0"/>
        <w:jc w:val="center"/>
        <w:rPr>
          <w:rFonts w:ascii="宋体" w:hAnsi="宋体" w:cs="宋体"/>
          <w:b/>
          <w:color w:val="auto"/>
          <w:sz w:val="36"/>
          <w:szCs w:val="36"/>
        </w:rPr>
      </w:pPr>
      <w:r>
        <w:rPr>
          <w:rFonts w:hint="eastAsia" w:ascii="宋体" w:hAnsi="宋体" w:cs="宋体"/>
          <w:b/>
          <w:color w:val="auto"/>
          <w:sz w:val="36"/>
          <w:szCs w:val="36"/>
        </w:rPr>
        <w:t>招标公告</w:t>
      </w:r>
    </w:p>
    <w:p>
      <w:pPr>
        <w:adjustRightInd w:val="0"/>
        <w:snapToGrid w:val="0"/>
        <w:spacing w:line="360" w:lineRule="auto"/>
        <w:ind w:firstLine="480" w:firstLineChars="200"/>
        <w:rPr>
          <w:rFonts w:ascii="宋体" w:hAnsi="宋体" w:cs="宋体"/>
          <w:color w:val="auto"/>
          <w:kern w:val="0"/>
          <w:sz w:val="24"/>
        </w:rPr>
      </w:pPr>
    </w:p>
    <w:p>
      <w:pPr>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依照《中华人民共和国招标及投标法》的有关规定，本着公正、公平、公开的原则，学校拟对实验室废弃物暂存柜设备采购项目组织公开招标，欢迎符合条件的单位前来参加投标。</w:t>
      </w:r>
    </w:p>
    <w:p>
      <w:pPr>
        <w:numPr>
          <w:ilvl w:val="0"/>
          <w:numId w:val="4"/>
        </w:numPr>
        <w:adjustRightInd w:val="0"/>
        <w:snapToGrid w:val="0"/>
        <w:spacing w:line="360" w:lineRule="auto"/>
        <w:rPr>
          <w:rFonts w:ascii="宋体" w:hAnsi="宋体" w:cs="宋体"/>
          <w:color w:val="auto"/>
          <w:kern w:val="0"/>
          <w:sz w:val="24"/>
        </w:rPr>
      </w:pPr>
      <w:r>
        <w:rPr>
          <w:rFonts w:hint="eastAsia" w:ascii="宋体" w:hAnsi="宋体" w:cs="宋体"/>
          <w:b/>
          <w:color w:val="auto"/>
          <w:kern w:val="0"/>
          <w:sz w:val="24"/>
        </w:rPr>
        <w:t>项目名称：</w:t>
      </w:r>
    </w:p>
    <w:p>
      <w:pPr>
        <w:adjustRightInd w:val="0"/>
        <w:snapToGrid w:val="0"/>
        <w:spacing w:line="360" w:lineRule="auto"/>
        <w:ind w:left="230" w:hanging="10"/>
        <w:rPr>
          <w:rFonts w:ascii="宋体" w:hAnsi="宋体" w:cs="宋体"/>
          <w:color w:val="auto"/>
          <w:kern w:val="0"/>
          <w:szCs w:val="21"/>
        </w:rPr>
      </w:pPr>
      <w:r>
        <w:rPr>
          <w:rFonts w:hint="eastAsia" w:ascii="宋体" w:hAnsi="宋体" w:cs="宋体"/>
          <w:color w:val="auto"/>
          <w:kern w:val="0"/>
          <w:sz w:val="24"/>
        </w:rPr>
        <w:t xml:space="preserve">实验室废弃物暂存柜设备采购项目 </w:t>
      </w:r>
      <w:r>
        <w:rPr>
          <w:rFonts w:hint="eastAsia" w:ascii="宋体" w:hAnsi="宋体" w:cs="宋体"/>
          <w:color w:val="auto"/>
          <w:kern w:val="0"/>
          <w:szCs w:val="21"/>
        </w:rPr>
        <w:t>（项目编号：HGGZ[2018]1024号）</w:t>
      </w:r>
    </w:p>
    <w:p>
      <w:pPr>
        <w:numPr>
          <w:ilvl w:val="0"/>
          <w:numId w:val="4"/>
        </w:numPr>
        <w:adjustRightInd w:val="0"/>
        <w:snapToGrid w:val="0"/>
        <w:spacing w:line="360" w:lineRule="auto"/>
        <w:rPr>
          <w:rFonts w:ascii="宋体" w:hAnsi="宋体" w:cs="宋体"/>
          <w:b/>
          <w:color w:val="auto"/>
          <w:kern w:val="0"/>
          <w:sz w:val="24"/>
        </w:rPr>
      </w:pPr>
      <w:r>
        <w:rPr>
          <w:rFonts w:hint="eastAsia" w:ascii="宋体" w:hAnsi="宋体" w:cs="宋体"/>
          <w:b/>
          <w:color w:val="auto"/>
          <w:kern w:val="0"/>
          <w:sz w:val="24"/>
        </w:rPr>
        <w:t>招标项目简要说明（详细见招标文件第四章）：</w:t>
      </w:r>
    </w:p>
    <w:tbl>
      <w:tblPr>
        <w:tblStyle w:val="47"/>
        <w:tblW w:w="7911"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3360"/>
        <w:gridCol w:w="169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blHeader/>
        </w:trPr>
        <w:tc>
          <w:tcPr>
            <w:tcW w:w="1181" w:type="dxa"/>
            <w:tcBorders>
              <w:top w:val="single" w:color="auto" w:sz="12" w:space="0"/>
              <w:left w:val="single" w:color="auto" w:sz="12" w:space="0"/>
              <w:bottom w:val="single" w:color="auto" w:sz="12" w:space="0"/>
              <w:right w:val="single" w:color="auto" w:sz="12" w:space="0"/>
            </w:tcBorders>
            <w:vAlign w:val="center"/>
          </w:tcPr>
          <w:p>
            <w:pPr>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分包号</w:t>
            </w:r>
          </w:p>
        </w:tc>
        <w:tc>
          <w:tcPr>
            <w:tcW w:w="3360"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cs="宋体"/>
                <w:color w:val="auto"/>
                <w:kern w:val="0"/>
                <w:sz w:val="24"/>
              </w:rPr>
            </w:pPr>
            <w:r>
              <w:rPr>
                <w:rFonts w:hint="eastAsia" w:ascii="宋体" w:hAnsi="宋体" w:cs="宋体"/>
                <w:color w:val="auto"/>
                <w:kern w:val="0"/>
                <w:sz w:val="24"/>
              </w:rPr>
              <w:t>采购内容</w:t>
            </w:r>
          </w:p>
        </w:tc>
        <w:tc>
          <w:tcPr>
            <w:tcW w:w="1690" w:type="dxa"/>
            <w:tcBorders>
              <w:top w:val="single" w:color="auto" w:sz="12" w:space="0"/>
              <w:left w:val="single" w:color="auto" w:sz="12" w:space="0"/>
              <w:bottom w:val="single" w:color="auto" w:sz="12" w:space="0"/>
              <w:right w:val="single" w:color="auto" w:sz="12" w:space="0"/>
            </w:tcBorders>
            <w:vAlign w:val="center"/>
          </w:tcPr>
          <w:p>
            <w:pPr>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单位及数量</w:t>
            </w:r>
          </w:p>
        </w:tc>
        <w:tc>
          <w:tcPr>
            <w:tcW w:w="1680" w:type="dxa"/>
            <w:tcBorders>
              <w:top w:val="single" w:color="auto" w:sz="12" w:space="0"/>
              <w:left w:val="single" w:color="auto" w:sz="12" w:space="0"/>
              <w:bottom w:val="single" w:color="auto" w:sz="12" w:space="0"/>
              <w:right w:val="single" w:color="auto" w:sz="12" w:space="0"/>
            </w:tcBorders>
            <w:vAlign w:val="center"/>
          </w:tcPr>
          <w:p>
            <w:pPr>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1"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cs="宋体"/>
                <w:color w:val="auto"/>
                <w:kern w:val="0"/>
                <w:sz w:val="24"/>
              </w:rPr>
            </w:pPr>
            <w:r>
              <w:rPr>
                <w:rFonts w:hint="eastAsia" w:ascii="宋体" w:hAnsi="宋体" w:cs="宋体"/>
                <w:color w:val="auto"/>
                <w:kern w:val="0"/>
                <w:sz w:val="24"/>
              </w:rPr>
              <w:t>1</w:t>
            </w:r>
          </w:p>
        </w:tc>
        <w:tc>
          <w:tcPr>
            <w:tcW w:w="3360"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cs="宋体"/>
                <w:color w:val="auto"/>
                <w:kern w:val="0"/>
                <w:sz w:val="24"/>
              </w:rPr>
            </w:pPr>
            <w:r>
              <w:rPr>
                <w:rFonts w:hint="eastAsia" w:ascii="Calibri" w:hAnsi="宋体" w:cs="宋体"/>
                <w:color w:val="auto"/>
                <w:kern w:val="0"/>
              </w:rPr>
              <w:t>实验室废弃物暂存柜系统</w:t>
            </w:r>
          </w:p>
        </w:tc>
        <w:tc>
          <w:tcPr>
            <w:tcW w:w="1690" w:type="dxa"/>
            <w:tcBorders>
              <w:top w:val="single" w:color="auto" w:sz="12" w:space="0"/>
              <w:left w:val="single" w:color="auto" w:sz="12" w:space="0"/>
              <w:bottom w:val="single" w:color="auto" w:sz="12" w:space="0"/>
              <w:right w:val="single" w:color="auto" w:sz="12" w:space="0"/>
            </w:tcBorders>
          </w:tcPr>
          <w:p>
            <w:pPr>
              <w:jc w:val="center"/>
              <w:rPr>
                <w:rFonts w:ascii="宋体" w:hAnsi="宋体" w:cs="宋体"/>
                <w:color w:val="auto"/>
                <w:kern w:val="0"/>
                <w:sz w:val="24"/>
              </w:rPr>
            </w:pPr>
            <w:r>
              <w:rPr>
                <w:rFonts w:hint="eastAsia" w:ascii="宋体" w:hAnsi="宋体" w:cs="宋体"/>
                <w:color w:val="auto"/>
                <w:kern w:val="0"/>
                <w:sz w:val="24"/>
              </w:rPr>
              <w:t>一套</w:t>
            </w:r>
          </w:p>
        </w:tc>
        <w:tc>
          <w:tcPr>
            <w:tcW w:w="1680" w:type="dxa"/>
            <w:tcBorders>
              <w:top w:val="single" w:color="auto" w:sz="12" w:space="0"/>
              <w:left w:val="single" w:color="auto" w:sz="12" w:space="0"/>
              <w:bottom w:val="single" w:color="auto" w:sz="12" w:space="0"/>
              <w:right w:val="single" w:color="auto" w:sz="12" w:space="0"/>
            </w:tcBorders>
          </w:tcPr>
          <w:p>
            <w:pPr>
              <w:jc w:val="center"/>
              <w:rPr>
                <w:rFonts w:ascii="宋体" w:hAnsi="宋体" w:cs="宋体"/>
                <w:color w:val="auto"/>
                <w:kern w:val="0"/>
                <w:sz w:val="24"/>
              </w:rPr>
            </w:pPr>
            <w:r>
              <w:rPr>
                <w:rFonts w:hint="eastAsia" w:ascii="宋体" w:hAnsi="宋体" w:cs="宋体"/>
                <w:color w:val="auto"/>
                <w:kern w:val="0"/>
                <w:sz w:val="24"/>
              </w:rPr>
              <w:t>40万</w:t>
            </w:r>
          </w:p>
        </w:tc>
      </w:tr>
    </w:tbl>
    <w:p>
      <w:pPr>
        <w:adjustRightInd w:val="0"/>
        <w:snapToGrid w:val="0"/>
        <w:spacing w:line="360" w:lineRule="auto"/>
        <w:rPr>
          <w:rFonts w:ascii="宋体" w:hAnsi="宋体" w:cs="宋体"/>
          <w:b/>
          <w:color w:val="auto"/>
          <w:kern w:val="0"/>
          <w:sz w:val="24"/>
        </w:rPr>
      </w:pPr>
    </w:p>
    <w:p>
      <w:pPr>
        <w:widowControl/>
        <w:numPr>
          <w:ilvl w:val="0"/>
          <w:numId w:val="4"/>
        </w:numPr>
        <w:spacing w:after="150" w:line="450" w:lineRule="atLeast"/>
        <w:jc w:val="left"/>
        <w:rPr>
          <w:rFonts w:ascii="宋体" w:hAnsi="宋体" w:cs="宋体"/>
          <w:color w:val="auto"/>
          <w:kern w:val="0"/>
          <w:sz w:val="24"/>
        </w:rPr>
      </w:pPr>
      <w:r>
        <w:rPr>
          <w:rFonts w:hint="eastAsia" w:ascii="宋体" w:hAnsi="宋体" w:cs="宋体"/>
          <w:b/>
          <w:color w:val="auto"/>
          <w:kern w:val="0"/>
          <w:sz w:val="24"/>
        </w:rPr>
        <w:t>投标供应商资格要求：</w:t>
      </w:r>
    </w:p>
    <w:p>
      <w:pPr>
        <w:widowControl/>
        <w:spacing w:after="150" w:line="450" w:lineRule="atLeast"/>
        <w:jc w:val="left"/>
        <w:rPr>
          <w:rFonts w:ascii="宋体" w:hAnsi="宋体" w:cs="宋体"/>
          <w:color w:val="auto"/>
          <w:kern w:val="0"/>
          <w:sz w:val="24"/>
        </w:rPr>
      </w:pPr>
      <w:r>
        <w:rPr>
          <w:rFonts w:hint="eastAsia" w:ascii="宋体" w:hAnsi="宋体" w:cs="宋体"/>
          <w:color w:val="auto"/>
          <w:kern w:val="0"/>
          <w:sz w:val="24"/>
        </w:rPr>
        <w:t xml:space="preserve">   1.供应商基本资格条件：</w:t>
      </w:r>
    </w:p>
    <w:p>
      <w:pPr>
        <w:widowControl/>
        <w:spacing w:after="150"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（1）投标人法定代表人营业执照副本复印件；</w:t>
      </w:r>
    </w:p>
    <w:p>
      <w:pPr>
        <w:widowControl/>
        <w:spacing w:after="150"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（2）法定代表人授权委托书原件及双方身份证复印件；</w:t>
      </w:r>
    </w:p>
    <w:p>
      <w:pPr>
        <w:widowControl/>
        <w:spacing w:after="150"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（3）投标人近半年连续三个月纳税及缴纳社会保险的凭证复印件；</w:t>
      </w:r>
    </w:p>
    <w:p>
      <w:pPr>
        <w:widowControl/>
        <w:spacing w:after="150"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（4）投标人参加本次采购活动前3年内没有重大违法记录的书面声明。</w:t>
      </w:r>
    </w:p>
    <w:p>
      <w:pPr>
        <w:widowControl/>
        <w:spacing w:before="75" w:line="420" w:lineRule="atLeast"/>
        <w:ind w:left="75" w:firstLine="300"/>
        <w:jc w:val="left"/>
        <w:rPr>
          <w:rFonts w:ascii="宋体" w:hAnsi="宋体" w:cs="宋体"/>
          <w:color w:val="auto"/>
          <w:kern w:val="0"/>
          <w:sz w:val="24"/>
        </w:rPr>
      </w:pPr>
      <w:r>
        <w:rPr>
          <w:rFonts w:hint="eastAsia" w:ascii="宋体" w:hAnsi="宋体" w:cs="宋体"/>
          <w:color w:val="auto"/>
          <w:kern w:val="0"/>
          <w:sz w:val="24"/>
        </w:rPr>
        <w:t>2.供应商特定资格条件：无</w:t>
      </w:r>
    </w:p>
    <w:p>
      <w:pPr>
        <w:widowControl/>
        <w:spacing w:before="75" w:line="420" w:lineRule="atLeast"/>
        <w:ind w:left="75" w:firstLine="300"/>
        <w:jc w:val="left"/>
        <w:rPr>
          <w:rFonts w:ascii="宋体" w:hAnsi="宋体" w:cs="宋体"/>
          <w:color w:val="auto"/>
          <w:kern w:val="0"/>
          <w:sz w:val="24"/>
        </w:rPr>
      </w:pPr>
    </w:p>
    <w:p>
      <w:pPr>
        <w:widowControl/>
        <w:spacing w:line="360" w:lineRule="auto"/>
        <w:jc w:val="left"/>
        <w:rPr>
          <w:rFonts w:ascii="宋体" w:hAnsi="宋体" w:cs="宋体"/>
          <w:b/>
          <w:color w:val="auto"/>
          <w:kern w:val="0"/>
          <w:sz w:val="24"/>
        </w:rPr>
      </w:pPr>
      <w:r>
        <w:rPr>
          <w:rFonts w:hint="eastAsia" w:ascii="宋体" w:hAnsi="宋体" w:cs="宋体"/>
          <w:b/>
          <w:color w:val="auto"/>
          <w:kern w:val="0"/>
          <w:sz w:val="24"/>
        </w:rPr>
        <w:t>四、获取标书时间、地点及注意事项</w:t>
      </w:r>
    </w:p>
    <w:p>
      <w:pPr>
        <w:widowControl/>
        <w:spacing w:line="360" w:lineRule="auto"/>
        <w:ind w:firstLine="360" w:firstLineChars="150"/>
        <w:jc w:val="left"/>
        <w:rPr>
          <w:rFonts w:ascii="宋体" w:hAnsi="宋体" w:cs="宋体"/>
          <w:color w:val="auto"/>
          <w:kern w:val="0"/>
          <w:sz w:val="24"/>
        </w:rPr>
      </w:pPr>
      <w:r>
        <w:rPr>
          <w:rFonts w:hint="eastAsia" w:ascii="宋体" w:hAnsi="宋体" w:cs="宋体"/>
          <w:color w:val="auto"/>
          <w:kern w:val="0"/>
          <w:sz w:val="24"/>
        </w:rPr>
        <w:t>1.报名时间：2018年10月26日至 2018年11月2日(8:30-11:30,15:00-17:00)北京时间、工作日；</w:t>
      </w:r>
    </w:p>
    <w:p>
      <w:pPr>
        <w:tabs>
          <w:tab w:val="left" w:pos="840"/>
        </w:tabs>
        <w:spacing w:line="384" w:lineRule="auto"/>
        <w:jc w:val="left"/>
        <w:rPr>
          <w:rFonts w:ascii="宋体" w:hAnsi="宋体" w:cs="宋体"/>
          <w:color w:val="auto"/>
          <w:kern w:val="0"/>
          <w:sz w:val="24"/>
        </w:rPr>
      </w:pPr>
      <w:r>
        <w:rPr>
          <w:rFonts w:hint="eastAsia" w:ascii="宋体" w:hAnsi="宋体" w:cs="宋体"/>
          <w:color w:val="auto"/>
          <w:kern w:val="0"/>
          <w:sz w:val="24"/>
        </w:rPr>
        <w:t xml:space="preserve">   2.报名地点：湖南工程学院主校区机械楼209室；</w:t>
      </w:r>
    </w:p>
    <w:p>
      <w:pPr>
        <w:widowControl/>
        <w:spacing w:line="360" w:lineRule="auto"/>
        <w:ind w:firstLine="360" w:firstLineChars="150"/>
        <w:jc w:val="left"/>
        <w:rPr>
          <w:rFonts w:ascii="宋体" w:hAnsi="宋体" w:cs="宋体"/>
          <w:color w:val="auto"/>
          <w:kern w:val="0"/>
          <w:sz w:val="24"/>
        </w:rPr>
      </w:pPr>
      <w:r>
        <w:rPr>
          <w:rFonts w:hint="eastAsia" w:ascii="宋体" w:hAnsi="宋体" w:cs="宋体"/>
          <w:color w:val="auto"/>
          <w:kern w:val="0"/>
          <w:sz w:val="24"/>
        </w:rPr>
        <w:t>3.报名时需提交的资料</w:t>
      </w:r>
      <w:r>
        <w:rPr>
          <w:rFonts w:hint="eastAsia" w:ascii="宋体" w:hAnsi="宋体" w:cs="宋体"/>
          <w:b/>
          <w:bCs/>
          <w:color w:val="auto"/>
          <w:kern w:val="0"/>
          <w:sz w:val="24"/>
        </w:rPr>
        <w:t>（详细格式见报名资料附件）</w:t>
      </w:r>
      <w:r>
        <w:rPr>
          <w:rFonts w:hint="eastAsia" w:ascii="宋体" w:hAnsi="宋体" w:cs="宋体"/>
          <w:color w:val="auto"/>
          <w:kern w:val="0"/>
          <w:sz w:val="24"/>
        </w:rPr>
        <w:t>：</w:t>
      </w:r>
    </w:p>
    <w:p>
      <w:pPr>
        <w:spacing w:line="360" w:lineRule="auto"/>
        <w:ind w:firstLine="360" w:firstLineChars="150"/>
        <w:rPr>
          <w:rFonts w:ascii="宋体" w:hAnsi="宋体" w:cs="宋体"/>
          <w:color w:val="auto"/>
          <w:kern w:val="0"/>
          <w:sz w:val="24"/>
        </w:rPr>
      </w:pPr>
      <w:r>
        <w:rPr>
          <w:rFonts w:hint="eastAsia" w:ascii="宋体" w:hAnsi="宋体" w:cs="宋体"/>
          <w:color w:val="auto"/>
          <w:kern w:val="0"/>
          <w:sz w:val="24"/>
        </w:rPr>
        <w:t>（1) 投标人本人身份证原件及复印件、营业执照原件及复印件；</w:t>
      </w:r>
    </w:p>
    <w:p>
      <w:pPr>
        <w:spacing w:line="360" w:lineRule="auto"/>
        <w:ind w:firstLine="480"/>
        <w:rPr>
          <w:rFonts w:ascii="宋体" w:hAnsi="宋体" w:cs="宋体"/>
          <w:color w:val="auto"/>
          <w:kern w:val="0"/>
          <w:sz w:val="24"/>
        </w:rPr>
      </w:pPr>
      <w:r>
        <w:rPr>
          <w:rFonts w:hint="eastAsia" w:ascii="宋体" w:hAnsi="宋体" w:cs="宋体"/>
          <w:color w:val="auto"/>
          <w:kern w:val="0"/>
          <w:sz w:val="24"/>
        </w:rPr>
        <w:t>(2) 如投标人不是法定代表人代表，须持有《授权委托书》及法定代表人身份证复印件（含投标人联系电话、QQ）；</w:t>
      </w:r>
    </w:p>
    <w:p>
      <w:pPr>
        <w:spacing w:line="360" w:lineRule="auto"/>
        <w:ind w:firstLine="360" w:firstLineChars="150"/>
        <w:rPr>
          <w:rFonts w:ascii="宋体" w:hAnsi="宋体" w:cs="宋体"/>
          <w:color w:val="auto"/>
          <w:kern w:val="0"/>
          <w:sz w:val="24"/>
        </w:rPr>
      </w:pPr>
      <w:r>
        <w:rPr>
          <w:rFonts w:hint="eastAsia" w:ascii="宋体" w:hAnsi="宋体" w:cs="宋体"/>
          <w:color w:val="auto"/>
          <w:kern w:val="0"/>
          <w:sz w:val="24"/>
        </w:rPr>
        <w:t>（3）其他相关证明材料；</w:t>
      </w:r>
    </w:p>
    <w:p>
      <w:pPr>
        <w:spacing w:line="360" w:lineRule="auto"/>
        <w:ind w:firstLine="480"/>
        <w:rPr>
          <w:rFonts w:ascii="宋体" w:hAnsi="宋体" w:cs="宋体"/>
          <w:color w:val="auto"/>
          <w:kern w:val="0"/>
          <w:sz w:val="24"/>
        </w:rPr>
      </w:pPr>
      <w:r>
        <w:rPr>
          <w:rFonts w:hint="eastAsia" w:ascii="宋体" w:hAnsi="宋体" w:cs="宋体"/>
          <w:color w:val="auto"/>
          <w:kern w:val="0"/>
          <w:sz w:val="24"/>
        </w:rPr>
        <w:t>(4) 以上所有资料需加盖企业公章。</w:t>
      </w:r>
    </w:p>
    <w:p>
      <w:pPr>
        <w:widowControl/>
        <w:spacing w:line="360" w:lineRule="auto"/>
        <w:ind w:firstLine="360" w:firstLineChars="150"/>
        <w:jc w:val="left"/>
        <w:rPr>
          <w:rFonts w:ascii="宋体" w:hAnsi="宋体" w:cs="宋体"/>
          <w:color w:val="auto"/>
          <w:kern w:val="0"/>
          <w:sz w:val="24"/>
        </w:rPr>
      </w:pPr>
      <w:r>
        <w:rPr>
          <w:rFonts w:hint="eastAsia" w:ascii="宋体" w:hAnsi="宋体" w:cs="宋体"/>
          <w:color w:val="auto"/>
          <w:kern w:val="0"/>
          <w:sz w:val="24"/>
        </w:rPr>
        <w:t xml:space="preserve"> 4.不受理电话、网上报名。</w:t>
      </w:r>
    </w:p>
    <w:p>
      <w:pPr>
        <w:tabs>
          <w:tab w:val="left" w:pos="1050"/>
        </w:tabs>
        <w:spacing w:line="384" w:lineRule="auto"/>
        <w:rPr>
          <w:rStyle w:val="40"/>
          <w:rFonts w:ascii="宋体" w:hAnsi="宋体" w:cs="宋体"/>
          <w:color w:val="auto"/>
          <w:sz w:val="24"/>
        </w:rPr>
      </w:pPr>
      <w:r>
        <w:rPr>
          <w:rFonts w:hint="eastAsia" w:ascii="宋体" w:hAnsi="宋体" w:cs="宋体"/>
          <w:color w:val="auto"/>
          <w:kern w:val="0"/>
          <w:sz w:val="24"/>
        </w:rPr>
        <w:t xml:space="preserve">    5.投标保证金：</w:t>
      </w:r>
    </w:p>
    <w:p>
      <w:pPr>
        <w:tabs>
          <w:tab w:val="left" w:pos="220"/>
        </w:tabs>
        <w:spacing w:line="400" w:lineRule="exact"/>
        <w:ind w:left="214" w:leftChars="102" w:firstLine="422" w:firstLineChars="176"/>
        <w:rPr>
          <w:rFonts w:ascii="宋体" w:hAnsi="宋体" w:cs="宋体"/>
          <w:color w:val="auto"/>
          <w:sz w:val="24"/>
        </w:rPr>
      </w:pPr>
      <w:r>
        <w:rPr>
          <w:rFonts w:hint="eastAsia" w:ascii="宋体" w:hAnsi="宋体" w:cs="宋体"/>
          <w:color w:val="auto"/>
          <w:sz w:val="24"/>
        </w:rPr>
        <w:t>投标保证金伍仟元，在2018年11月16日上午9:00前汇入湖南工程学院财务处，中标者签订合同后转为履约保证金，未中标者10个工作日无息退还。</w:t>
      </w:r>
    </w:p>
    <w:p>
      <w:pPr>
        <w:spacing w:line="384" w:lineRule="auto"/>
        <w:rPr>
          <w:rFonts w:ascii="宋体" w:hAnsi="宋体" w:cs="宋体"/>
          <w:color w:val="auto"/>
          <w:sz w:val="24"/>
          <w:u w:val="single"/>
        </w:rPr>
      </w:pPr>
      <w:r>
        <w:rPr>
          <w:rFonts w:hint="eastAsia" w:ascii="宋体" w:hAnsi="宋体" w:cs="宋体"/>
          <w:color w:val="auto"/>
          <w:sz w:val="24"/>
          <w:u w:val="single"/>
        </w:rPr>
        <w:t>银行户名：湖南工程学院，账号：1904031109026409320，</w:t>
      </w:r>
    </w:p>
    <w:p>
      <w:pPr>
        <w:spacing w:line="384" w:lineRule="auto"/>
        <w:rPr>
          <w:rFonts w:ascii="宋体" w:hAnsi="宋体" w:cs="宋体"/>
          <w:b/>
          <w:bCs/>
          <w:color w:val="auto"/>
          <w:sz w:val="24"/>
        </w:rPr>
      </w:pPr>
      <w:r>
        <w:rPr>
          <w:rFonts w:hint="eastAsia" w:ascii="宋体" w:hAnsi="宋体" w:cs="宋体"/>
          <w:color w:val="auto"/>
          <w:sz w:val="24"/>
          <w:u w:val="single"/>
        </w:rPr>
        <w:t>开户行：工商银行湘潭岳塘支行，请在附言栏注明：</w:t>
      </w:r>
      <w:r>
        <w:rPr>
          <w:rFonts w:hint="eastAsia" w:ascii="宋体" w:hAnsi="宋体" w:cs="宋体"/>
          <w:b/>
          <w:bCs/>
          <w:color w:val="auto"/>
          <w:sz w:val="24"/>
          <w:u w:val="single"/>
        </w:rPr>
        <w:t>投标保证金+单位或个人</w:t>
      </w:r>
    </w:p>
    <w:p>
      <w:pPr>
        <w:adjustRightInd w:val="0"/>
        <w:snapToGrid w:val="0"/>
        <w:spacing w:line="360" w:lineRule="auto"/>
        <w:ind w:firstLine="480" w:firstLineChars="200"/>
        <w:rPr>
          <w:rFonts w:ascii="宋体" w:hAnsi="宋体" w:cs="宋体"/>
          <w:color w:val="auto"/>
          <w:kern w:val="0"/>
          <w:sz w:val="24"/>
        </w:rPr>
      </w:pPr>
    </w:p>
    <w:p>
      <w:pPr>
        <w:widowControl/>
        <w:spacing w:line="360" w:lineRule="auto"/>
        <w:jc w:val="left"/>
        <w:rPr>
          <w:rFonts w:ascii="宋体" w:hAnsi="宋体" w:cs="宋体"/>
          <w:b/>
          <w:color w:val="auto"/>
          <w:kern w:val="0"/>
          <w:sz w:val="14"/>
          <w:szCs w:val="14"/>
        </w:rPr>
      </w:pPr>
      <w:r>
        <w:rPr>
          <w:rFonts w:hint="eastAsia" w:ascii="宋体" w:hAnsi="宋体" w:cs="宋体"/>
          <w:b/>
          <w:color w:val="auto"/>
          <w:kern w:val="0"/>
          <w:sz w:val="24"/>
        </w:rPr>
        <w:t>五、递交</w:t>
      </w:r>
      <w:bookmarkStart w:id="212" w:name="_GoBack"/>
      <w:bookmarkEnd w:id="212"/>
      <w:r>
        <w:rPr>
          <w:rFonts w:hint="eastAsia" w:ascii="宋体" w:hAnsi="宋体" w:cs="宋体"/>
          <w:b/>
          <w:color w:val="auto"/>
          <w:kern w:val="0"/>
          <w:sz w:val="24"/>
        </w:rPr>
        <w:t>投标文件时间、投标截止时间和开标时间及地点</w:t>
      </w:r>
    </w:p>
    <w:p>
      <w:pPr>
        <w:spacing w:line="384" w:lineRule="auto"/>
        <w:ind w:firstLine="420" w:firstLineChars="175"/>
        <w:rPr>
          <w:rFonts w:ascii="宋体" w:hAnsi="宋体" w:cs="宋体"/>
          <w:color w:val="auto"/>
          <w:sz w:val="24"/>
        </w:rPr>
      </w:pPr>
      <w:r>
        <w:rPr>
          <w:rFonts w:hint="eastAsia" w:ascii="宋体" w:hAnsi="宋体" w:cs="宋体"/>
          <w:color w:val="auto"/>
          <w:sz w:val="24"/>
        </w:rPr>
        <w:t>投标方须于以下指定时间和地点将投标文件送达招标单位指定工作人员，迟交的投标文件招标方</w:t>
      </w:r>
      <w:r>
        <w:rPr>
          <w:rFonts w:hint="eastAsia" w:ascii="宋体" w:hAnsi="宋体" w:cs="宋体"/>
          <w:b/>
          <w:bCs/>
          <w:color w:val="auto"/>
          <w:sz w:val="24"/>
        </w:rPr>
        <w:t>拒绝接收</w:t>
      </w:r>
      <w:r>
        <w:rPr>
          <w:rFonts w:hint="eastAsia" w:ascii="宋体" w:hAnsi="宋体" w:cs="宋体"/>
          <w:color w:val="auto"/>
          <w:sz w:val="24"/>
        </w:rPr>
        <w:t>：</w:t>
      </w:r>
    </w:p>
    <w:p>
      <w:pPr>
        <w:tabs>
          <w:tab w:val="left" w:pos="1050"/>
        </w:tabs>
        <w:spacing w:line="384" w:lineRule="auto"/>
        <w:rPr>
          <w:rFonts w:ascii="宋体" w:hAnsi="宋体" w:cs="宋体"/>
          <w:color w:val="auto"/>
          <w:sz w:val="24"/>
        </w:rPr>
      </w:pPr>
      <w:r>
        <w:rPr>
          <w:rFonts w:hint="eastAsia" w:ascii="宋体" w:hAnsi="宋体" w:cs="宋体"/>
          <w:color w:val="auto"/>
          <w:sz w:val="24"/>
        </w:rPr>
        <w:t>1.送达时间：2018年11月16日上午8：30～9：00时（北京时间）</w:t>
      </w:r>
    </w:p>
    <w:p>
      <w:pPr>
        <w:tabs>
          <w:tab w:val="left" w:pos="1050"/>
        </w:tabs>
        <w:spacing w:line="384" w:lineRule="auto"/>
        <w:rPr>
          <w:rFonts w:ascii="宋体" w:hAnsi="宋体" w:cs="宋体"/>
          <w:color w:val="auto"/>
          <w:sz w:val="24"/>
        </w:rPr>
      </w:pPr>
      <w:r>
        <w:rPr>
          <w:rFonts w:hint="eastAsia" w:ascii="宋体" w:hAnsi="宋体" w:cs="宋体"/>
          <w:color w:val="auto"/>
          <w:sz w:val="24"/>
        </w:rPr>
        <w:t>2.送达地点：湖南工程学院主校区机械楼311号</w:t>
      </w:r>
    </w:p>
    <w:p>
      <w:pPr>
        <w:spacing w:line="384" w:lineRule="auto"/>
        <w:rPr>
          <w:rFonts w:ascii="宋体" w:hAnsi="宋体" w:cs="宋体"/>
          <w:color w:val="auto"/>
          <w:sz w:val="24"/>
        </w:rPr>
      </w:pPr>
      <w:r>
        <w:rPr>
          <w:rFonts w:hint="eastAsia" w:ascii="宋体" w:hAnsi="宋体" w:cs="宋体"/>
          <w:color w:val="auto"/>
          <w:sz w:val="24"/>
        </w:rPr>
        <w:t>3.投标截止时间：2018年11月16日上午9：00时（北京时间）</w:t>
      </w:r>
    </w:p>
    <w:p>
      <w:pPr>
        <w:spacing w:line="384" w:lineRule="auto"/>
        <w:rPr>
          <w:rFonts w:ascii="宋体" w:hAnsi="宋体" w:cs="宋体"/>
          <w:color w:val="auto"/>
          <w:sz w:val="24"/>
        </w:rPr>
      </w:pPr>
      <w:r>
        <w:rPr>
          <w:rFonts w:hint="eastAsia" w:ascii="宋体" w:hAnsi="宋体" w:cs="宋体"/>
          <w:color w:val="auto"/>
          <w:sz w:val="24"/>
        </w:rPr>
        <w:t>4.开标时间: 2018年11月16日上午9：00时（北京时间）</w:t>
      </w:r>
    </w:p>
    <w:p>
      <w:pPr>
        <w:spacing w:line="384" w:lineRule="auto"/>
        <w:rPr>
          <w:rFonts w:ascii="宋体" w:hAnsi="宋体" w:cs="宋体"/>
          <w:color w:val="auto"/>
          <w:sz w:val="24"/>
        </w:rPr>
      </w:pPr>
      <w:r>
        <w:rPr>
          <w:rFonts w:hint="eastAsia" w:ascii="宋体" w:hAnsi="宋体" w:cs="宋体"/>
          <w:color w:val="auto"/>
          <w:sz w:val="24"/>
        </w:rPr>
        <w:t>5.开标地点: 湖南工程学院主校区机械楼311号</w:t>
      </w:r>
    </w:p>
    <w:p>
      <w:pPr>
        <w:spacing w:line="384" w:lineRule="auto"/>
        <w:rPr>
          <w:rFonts w:ascii="宋体" w:hAnsi="宋体" w:cs="宋体"/>
          <w:b/>
          <w:color w:val="auto"/>
          <w:sz w:val="24"/>
        </w:rPr>
      </w:pPr>
      <w:r>
        <w:rPr>
          <w:rFonts w:hint="eastAsia" w:ascii="宋体" w:hAnsi="宋体" w:cs="宋体"/>
          <w:b/>
          <w:color w:val="auto"/>
          <w:sz w:val="24"/>
        </w:rPr>
        <w:t>六、招标方联系方式：</w:t>
      </w:r>
    </w:p>
    <w:p>
      <w:pPr>
        <w:spacing w:line="384" w:lineRule="auto"/>
        <w:rPr>
          <w:rFonts w:ascii="宋体" w:hAnsi="宋体" w:cs="宋体"/>
          <w:color w:val="auto"/>
          <w:sz w:val="24"/>
        </w:rPr>
      </w:pPr>
      <w:r>
        <w:rPr>
          <w:rFonts w:hint="eastAsia" w:ascii="宋体" w:hAnsi="宋体" w:cs="宋体"/>
          <w:color w:val="auto"/>
          <w:sz w:val="24"/>
        </w:rPr>
        <w:t xml:space="preserve">联 系 人：蒋老师    </w:t>
      </w:r>
    </w:p>
    <w:p>
      <w:pPr>
        <w:spacing w:line="384" w:lineRule="auto"/>
        <w:rPr>
          <w:rFonts w:ascii="宋体" w:hAnsi="宋体" w:cs="宋体"/>
          <w:color w:val="auto"/>
          <w:sz w:val="24"/>
        </w:rPr>
      </w:pPr>
      <w:r>
        <w:rPr>
          <w:rFonts w:hint="eastAsia" w:ascii="宋体" w:hAnsi="宋体" w:cs="宋体"/>
          <w:color w:val="auto"/>
          <w:sz w:val="24"/>
        </w:rPr>
        <w:t xml:space="preserve">办公电话：0731-58683362     </w:t>
      </w:r>
    </w:p>
    <w:p>
      <w:pPr>
        <w:spacing w:line="384" w:lineRule="auto"/>
        <w:rPr>
          <w:rFonts w:ascii="宋体" w:hAnsi="宋体" w:cs="宋体"/>
          <w:color w:val="auto"/>
          <w:sz w:val="24"/>
        </w:rPr>
      </w:pPr>
      <w:r>
        <w:rPr>
          <w:rFonts w:hint="eastAsia" w:ascii="宋体" w:hAnsi="宋体" w:cs="宋体"/>
          <w:color w:val="auto"/>
          <w:sz w:val="24"/>
        </w:rPr>
        <w:t>办公地址：湖南工程学院主校区机械楼209室</w:t>
      </w:r>
    </w:p>
    <w:p>
      <w:pPr>
        <w:spacing w:line="384" w:lineRule="auto"/>
        <w:rPr>
          <w:rFonts w:ascii="宋体" w:hAnsi="宋体" w:cs="宋体"/>
          <w:color w:val="auto"/>
          <w:sz w:val="24"/>
        </w:rPr>
      </w:pPr>
      <w:r>
        <w:rPr>
          <w:rFonts w:hint="eastAsia" w:ascii="宋体" w:hAnsi="宋体" w:cs="宋体"/>
          <w:color w:val="auto"/>
          <w:sz w:val="24"/>
        </w:rPr>
        <w:t>学校地址：湖南省湘潭市岳塘区福星中路88号</w:t>
      </w:r>
    </w:p>
    <w:p>
      <w:pPr>
        <w:spacing w:line="384" w:lineRule="auto"/>
        <w:rPr>
          <w:rFonts w:ascii="宋体" w:hAnsi="宋体" w:cs="宋体"/>
          <w:color w:val="auto"/>
          <w:sz w:val="24"/>
        </w:rPr>
      </w:pPr>
    </w:p>
    <w:p>
      <w:pPr>
        <w:spacing w:line="384" w:lineRule="auto"/>
        <w:rPr>
          <w:rFonts w:ascii="宋体" w:hAnsi="宋体" w:cs="宋体"/>
          <w:b/>
          <w:color w:val="auto"/>
          <w:sz w:val="24"/>
        </w:rPr>
      </w:pPr>
      <w:r>
        <w:rPr>
          <w:rFonts w:hint="eastAsia" w:ascii="宋体" w:hAnsi="宋体" w:cs="宋体"/>
          <w:b/>
          <w:color w:val="auto"/>
          <w:sz w:val="24"/>
        </w:rPr>
        <w:t>七、送货地点、时间：</w:t>
      </w:r>
    </w:p>
    <w:p>
      <w:pPr>
        <w:spacing w:line="384" w:lineRule="auto"/>
        <w:rPr>
          <w:rFonts w:ascii="宋体" w:hAnsi="宋体" w:cs="宋体"/>
          <w:color w:val="auto"/>
          <w:sz w:val="24"/>
        </w:rPr>
      </w:pPr>
      <w:r>
        <w:rPr>
          <w:rFonts w:hint="eastAsia" w:ascii="宋体" w:hAnsi="宋体" w:cs="宋体"/>
          <w:color w:val="auto"/>
          <w:sz w:val="24"/>
        </w:rPr>
        <w:t>送货地点：湖南工程学院</w:t>
      </w:r>
      <w:r>
        <w:rPr>
          <w:rFonts w:hint="eastAsia" w:ascii="宋体" w:hAnsi="宋体" w:cs="宋体"/>
          <w:color w:val="auto"/>
          <w:sz w:val="24"/>
          <w:u w:val="single"/>
        </w:rPr>
        <w:t>校内指定地点</w:t>
      </w:r>
      <w:r>
        <w:rPr>
          <w:rFonts w:hint="eastAsia" w:ascii="宋体" w:hAnsi="宋体" w:cs="宋体"/>
          <w:color w:val="auto"/>
          <w:sz w:val="24"/>
        </w:rPr>
        <w:t>；</w:t>
      </w:r>
    </w:p>
    <w:p>
      <w:pPr>
        <w:spacing w:line="384" w:lineRule="auto"/>
        <w:rPr>
          <w:rFonts w:ascii="宋体" w:hAnsi="宋体"/>
          <w:color w:val="auto"/>
          <w:szCs w:val="21"/>
        </w:rPr>
      </w:pPr>
      <w:r>
        <w:rPr>
          <w:rFonts w:hint="eastAsia" w:ascii="宋体" w:hAnsi="宋体" w:cs="宋体"/>
          <w:color w:val="auto"/>
          <w:sz w:val="24"/>
        </w:rPr>
        <w:t>送货时间：合同协议时间。</w:t>
      </w:r>
    </w:p>
    <w:p>
      <w:pPr>
        <w:spacing w:line="400" w:lineRule="atLeast"/>
        <w:ind w:firstLine="308" w:firstLineChars="147"/>
        <w:rPr>
          <w:rFonts w:ascii="宋体" w:hAnsi="宋体"/>
          <w:color w:val="auto"/>
          <w:szCs w:val="21"/>
        </w:rPr>
      </w:pPr>
    </w:p>
    <w:p>
      <w:pPr>
        <w:spacing w:line="400" w:lineRule="atLeast"/>
        <w:rPr>
          <w:rFonts w:ascii="宋体" w:hAnsi="宋体"/>
          <w:color w:val="auto"/>
          <w:szCs w:val="21"/>
        </w:rPr>
        <w:sectPr>
          <w:headerReference r:id="rId7" w:type="default"/>
          <w:headerReference r:id="rId8" w:type="even"/>
          <w:pgSz w:w="11906" w:h="16838"/>
          <w:pgMar w:top="907" w:right="1588" w:bottom="1219" w:left="1588" w:header="567" w:footer="454" w:gutter="0"/>
          <w:paperSrc w:first="1" w:other="1"/>
          <w:cols w:space="720" w:num="1"/>
          <w:docGrid w:linePitch="312" w:charSpace="0"/>
        </w:sectPr>
      </w:pPr>
    </w:p>
    <w:p>
      <w:pPr>
        <w:pStyle w:val="2"/>
        <w:adjustRightInd/>
        <w:spacing w:line="240" w:lineRule="auto"/>
        <w:ind w:left="113"/>
        <w:jc w:val="center"/>
        <w:textAlignment w:val="auto"/>
        <w:rPr>
          <w:rFonts w:ascii="宋体" w:hAnsi="宋体"/>
          <w:color w:val="auto"/>
        </w:rPr>
      </w:pPr>
      <w:r>
        <w:rPr>
          <w:rFonts w:hint="eastAsia" w:ascii="宋体" w:hAnsi="宋体"/>
          <w:color w:val="auto"/>
        </w:rPr>
        <w:t>第二章 投标人须知</w:t>
      </w:r>
      <w:bookmarkEnd w:id="0"/>
      <w:bookmarkEnd w:id="1"/>
      <w:bookmarkEnd w:id="2"/>
      <w:bookmarkEnd w:id="3"/>
      <w:bookmarkEnd w:id="4"/>
      <w:bookmarkEnd w:id="5"/>
    </w:p>
    <w:p>
      <w:pPr>
        <w:pStyle w:val="3"/>
        <w:numPr>
          <w:ilvl w:val="0"/>
          <w:numId w:val="5"/>
        </w:numPr>
        <w:adjustRightInd/>
        <w:spacing w:beforeLines="150" w:afterLines="50" w:line="240" w:lineRule="auto"/>
        <w:jc w:val="center"/>
        <w:textAlignment w:val="auto"/>
        <w:rPr>
          <w:rFonts w:ascii="宋体" w:hAnsi="宋体" w:eastAsia="宋体"/>
          <w:color w:val="auto"/>
          <w:sz w:val="30"/>
          <w:szCs w:val="30"/>
        </w:rPr>
      </w:pPr>
      <w:bookmarkStart w:id="6" w:name="_Toc384934432"/>
      <w:bookmarkStart w:id="7" w:name="_Toc261206943"/>
      <w:bookmarkStart w:id="8" w:name="_Toc193643680"/>
      <w:bookmarkStart w:id="9" w:name="_Toc121805652"/>
      <w:r>
        <w:rPr>
          <w:rFonts w:hint="eastAsia" w:ascii="宋体" w:hAnsi="宋体" w:eastAsia="宋体"/>
          <w:color w:val="auto"/>
          <w:sz w:val="30"/>
          <w:szCs w:val="30"/>
        </w:rPr>
        <w:t>说明</w:t>
      </w:r>
      <w:bookmarkEnd w:id="6"/>
      <w:bookmarkEnd w:id="7"/>
      <w:bookmarkEnd w:id="8"/>
      <w:bookmarkEnd w:id="9"/>
    </w:p>
    <w:p>
      <w:pPr>
        <w:pStyle w:val="4"/>
        <w:numPr>
          <w:ilvl w:val="0"/>
          <w:numId w:val="6"/>
        </w:numPr>
        <w:adjustRightInd/>
        <w:spacing w:beforeLines="100" w:after="0" w:line="360" w:lineRule="exact"/>
        <w:textAlignment w:val="auto"/>
        <w:rPr>
          <w:rFonts w:ascii="宋体" w:hAnsi="宋体"/>
          <w:color w:val="auto"/>
          <w:sz w:val="24"/>
        </w:rPr>
      </w:pPr>
      <w:bookmarkStart w:id="10" w:name="_Toc134155406"/>
      <w:bookmarkStart w:id="11" w:name="_Toc261206944"/>
      <w:bookmarkStart w:id="12" w:name="_Toc193643681"/>
      <w:bookmarkStart w:id="13" w:name="_Toc103569361"/>
      <w:bookmarkStart w:id="14" w:name="_Toc384934433"/>
      <w:r>
        <w:rPr>
          <w:rFonts w:hint="eastAsia" w:ascii="宋体" w:hAnsi="宋体"/>
          <w:color w:val="auto"/>
          <w:sz w:val="24"/>
        </w:rPr>
        <w:t>适用范围</w:t>
      </w:r>
      <w:bookmarkEnd w:id="10"/>
      <w:bookmarkEnd w:id="11"/>
      <w:bookmarkEnd w:id="12"/>
      <w:bookmarkEnd w:id="13"/>
      <w:bookmarkEnd w:id="14"/>
    </w:p>
    <w:p>
      <w:pPr>
        <w:numPr>
          <w:ilvl w:val="1"/>
          <w:numId w:val="7"/>
        </w:numPr>
        <w:spacing w:beforeLines="50" w:afterLines="50" w:line="360" w:lineRule="exact"/>
        <w:rPr>
          <w:rFonts w:ascii="宋体" w:hAnsi="宋体"/>
          <w:color w:val="auto"/>
          <w:szCs w:val="21"/>
        </w:rPr>
      </w:pPr>
      <w:r>
        <w:rPr>
          <w:rFonts w:hint="eastAsia" w:ascii="宋体" w:hAnsi="宋体"/>
          <w:color w:val="auto"/>
          <w:szCs w:val="21"/>
        </w:rPr>
        <w:t>本招标文件仅适用于本投标邀请中所叙述的采购项目。</w:t>
      </w:r>
    </w:p>
    <w:p>
      <w:pPr>
        <w:pStyle w:val="4"/>
        <w:numPr>
          <w:ilvl w:val="0"/>
          <w:numId w:val="6"/>
        </w:numPr>
        <w:adjustRightInd/>
        <w:spacing w:beforeLines="100" w:after="0" w:line="360" w:lineRule="exact"/>
        <w:textAlignment w:val="auto"/>
        <w:rPr>
          <w:rFonts w:ascii="宋体" w:hAnsi="宋体"/>
          <w:color w:val="auto"/>
          <w:sz w:val="24"/>
        </w:rPr>
      </w:pPr>
      <w:bookmarkStart w:id="15" w:name="_Toc193643682"/>
      <w:bookmarkStart w:id="16" w:name="_Toc103569362"/>
      <w:bookmarkStart w:id="17" w:name="_Toc134155407"/>
      <w:bookmarkStart w:id="18" w:name="_Toc261206945"/>
      <w:r>
        <w:rPr>
          <w:rFonts w:hint="eastAsia" w:ascii="宋体" w:hAnsi="宋体"/>
          <w:color w:val="auto"/>
          <w:sz w:val="24"/>
        </w:rPr>
        <w:tab/>
      </w:r>
      <w:bookmarkStart w:id="19" w:name="_Toc384934434"/>
      <w:r>
        <w:rPr>
          <w:rFonts w:hint="eastAsia" w:ascii="宋体" w:hAnsi="宋体"/>
          <w:color w:val="auto"/>
          <w:sz w:val="24"/>
        </w:rPr>
        <w:t>定义</w:t>
      </w:r>
      <w:bookmarkEnd w:id="15"/>
      <w:bookmarkEnd w:id="16"/>
      <w:bookmarkEnd w:id="17"/>
      <w:bookmarkEnd w:id="18"/>
      <w:bookmarkEnd w:id="19"/>
    </w:p>
    <w:p>
      <w:pPr>
        <w:numPr>
          <w:ilvl w:val="1"/>
          <w:numId w:val="8"/>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采购人： 湖南工程学院</w:t>
      </w:r>
    </w:p>
    <w:p>
      <w:pPr>
        <w:numPr>
          <w:ilvl w:val="1"/>
          <w:numId w:val="8"/>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招标人： 湖南工程学院</w:t>
      </w:r>
    </w:p>
    <w:p>
      <w:pPr>
        <w:numPr>
          <w:ilvl w:val="1"/>
          <w:numId w:val="8"/>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投标人： 无条件接受招标文件的要求，向采购人提供货物、工程或者服务的法定代表人、其他组织或者自然人。</w:t>
      </w:r>
    </w:p>
    <w:p>
      <w:pPr>
        <w:numPr>
          <w:ilvl w:val="1"/>
          <w:numId w:val="8"/>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货  物： 指投标人按招标文件要求，向采购人提供的各种形态和种类的物品，包括原材</w:t>
      </w:r>
    </w:p>
    <w:p>
      <w:pPr>
        <w:spacing w:line="320" w:lineRule="exact"/>
        <w:ind w:firstLine="1575" w:firstLineChars="750"/>
        <w:rPr>
          <w:rFonts w:ascii="宋体" w:hAnsi="宋体"/>
          <w:color w:val="auto"/>
          <w:szCs w:val="21"/>
        </w:rPr>
      </w:pPr>
      <w:r>
        <w:rPr>
          <w:rFonts w:hint="eastAsia" w:ascii="宋体" w:hAnsi="宋体"/>
          <w:color w:val="auto"/>
          <w:szCs w:val="21"/>
        </w:rPr>
        <w:t>料、产品及相关的手册及其它技术资料。</w:t>
      </w:r>
    </w:p>
    <w:p>
      <w:pPr>
        <w:numPr>
          <w:ilvl w:val="1"/>
          <w:numId w:val="8"/>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 xml:space="preserve">服  务： 指投标人提供的与相关货物有关的运输、安装、调试、技术协助、培训、维修    </w:t>
      </w:r>
    </w:p>
    <w:p>
      <w:pPr>
        <w:spacing w:line="320" w:lineRule="exact"/>
        <w:ind w:firstLine="1619" w:firstLineChars="771"/>
        <w:rPr>
          <w:rFonts w:ascii="宋体" w:hAnsi="宋体"/>
          <w:color w:val="auto"/>
          <w:szCs w:val="21"/>
        </w:rPr>
      </w:pPr>
      <w:r>
        <w:rPr>
          <w:rFonts w:hint="eastAsia" w:ascii="宋体" w:hAnsi="宋体"/>
          <w:color w:val="auto"/>
          <w:szCs w:val="21"/>
        </w:rPr>
        <w:t>等其他类似的义务。</w:t>
      </w:r>
    </w:p>
    <w:p>
      <w:pPr>
        <w:pStyle w:val="4"/>
        <w:numPr>
          <w:ilvl w:val="0"/>
          <w:numId w:val="6"/>
        </w:numPr>
        <w:adjustRightInd/>
        <w:spacing w:beforeLines="100" w:after="0" w:line="360" w:lineRule="exact"/>
        <w:textAlignment w:val="auto"/>
        <w:rPr>
          <w:rFonts w:ascii="宋体" w:hAnsi="宋体"/>
          <w:color w:val="auto"/>
          <w:sz w:val="24"/>
        </w:rPr>
      </w:pPr>
      <w:bookmarkStart w:id="20" w:name="_Toc134155408"/>
      <w:bookmarkStart w:id="21" w:name="_Toc261206946"/>
      <w:bookmarkStart w:id="22" w:name="_Toc103569363"/>
      <w:bookmarkStart w:id="23" w:name="_Toc193643683"/>
      <w:r>
        <w:rPr>
          <w:rFonts w:hint="eastAsia" w:ascii="宋体" w:hAnsi="宋体"/>
          <w:color w:val="auto"/>
          <w:sz w:val="24"/>
        </w:rPr>
        <w:tab/>
      </w:r>
      <w:bookmarkStart w:id="24" w:name="_Toc384934435"/>
      <w:r>
        <w:rPr>
          <w:rFonts w:hint="eastAsia" w:ascii="宋体" w:hAnsi="宋体"/>
          <w:color w:val="auto"/>
          <w:sz w:val="24"/>
        </w:rPr>
        <w:t>合格投标人的范围</w:t>
      </w:r>
      <w:bookmarkEnd w:id="20"/>
      <w:bookmarkEnd w:id="21"/>
      <w:bookmarkEnd w:id="22"/>
      <w:bookmarkEnd w:id="23"/>
      <w:bookmarkEnd w:id="24"/>
    </w:p>
    <w:p>
      <w:pPr>
        <w:pStyle w:val="18"/>
        <w:adjustRightInd w:val="0"/>
        <w:snapToGrid w:val="0"/>
        <w:spacing w:beforeLines="50" w:afterLines="50" w:line="320" w:lineRule="exact"/>
        <w:ind w:left="835" w:leftChars="300" w:hanging="205" w:hangingChars="98"/>
        <w:rPr>
          <w:rFonts w:ascii="宋体" w:hAnsi="宋体"/>
          <w:bCs/>
          <w:color w:val="auto"/>
          <w:sz w:val="21"/>
          <w:szCs w:val="21"/>
        </w:rPr>
      </w:pPr>
      <w:r>
        <w:rPr>
          <w:rFonts w:hint="eastAsia" w:ascii="宋体" w:hAnsi="宋体"/>
          <w:bCs/>
          <w:color w:val="auto"/>
          <w:sz w:val="21"/>
          <w:szCs w:val="21"/>
        </w:rPr>
        <w:t>符合《中华人民共和国政府采购法》第二十二条的有关规定。还应具备：</w:t>
      </w:r>
    </w:p>
    <w:p>
      <w:pPr>
        <w:numPr>
          <w:ilvl w:val="1"/>
          <w:numId w:val="9"/>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投标人为中华人民共和国境内的企业法定代表人或其它组织；</w:t>
      </w:r>
    </w:p>
    <w:p>
      <w:pPr>
        <w:pStyle w:val="18"/>
        <w:numPr>
          <w:ilvl w:val="1"/>
          <w:numId w:val="9"/>
        </w:numPr>
        <w:adjustRightInd w:val="0"/>
        <w:snapToGrid w:val="0"/>
        <w:spacing w:beforeLines="50" w:afterLines="50" w:line="320" w:lineRule="exact"/>
        <w:rPr>
          <w:rFonts w:ascii="宋体" w:hAnsi="宋体"/>
          <w:bCs/>
          <w:color w:val="auto"/>
          <w:sz w:val="21"/>
          <w:szCs w:val="21"/>
        </w:rPr>
      </w:pPr>
      <w:r>
        <w:rPr>
          <w:rFonts w:hint="eastAsia" w:ascii="宋体" w:hAnsi="宋体"/>
          <w:bCs/>
          <w:color w:val="auto"/>
          <w:sz w:val="21"/>
          <w:szCs w:val="21"/>
        </w:rPr>
        <w:t>须提供：</w:t>
      </w:r>
    </w:p>
    <w:p>
      <w:pPr>
        <w:numPr>
          <w:ilvl w:val="0"/>
          <w:numId w:val="10"/>
        </w:numPr>
        <w:snapToGrid w:val="0"/>
        <w:spacing w:beforeLines="50" w:line="280" w:lineRule="exact"/>
        <w:ind w:hanging="84"/>
        <w:rPr>
          <w:rFonts w:ascii="宋体" w:hAnsi="宋体"/>
          <w:bCs/>
          <w:color w:val="auto"/>
          <w:szCs w:val="21"/>
        </w:rPr>
      </w:pPr>
      <w:r>
        <w:rPr>
          <w:rFonts w:hint="eastAsia" w:ascii="宋体" w:hAnsi="宋体"/>
          <w:color w:val="auto"/>
        </w:rPr>
        <w:t>投标人纳税及缴纳社会保险的凭证复印件</w:t>
      </w:r>
      <w:r>
        <w:rPr>
          <w:rFonts w:hint="eastAsia" w:ascii="宋体" w:hAnsi="宋体"/>
          <w:bCs/>
          <w:color w:val="auto"/>
          <w:szCs w:val="21"/>
        </w:rPr>
        <w:t>；</w:t>
      </w:r>
    </w:p>
    <w:p>
      <w:pPr>
        <w:numPr>
          <w:ilvl w:val="0"/>
          <w:numId w:val="10"/>
        </w:numPr>
        <w:snapToGrid w:val="0"/>
        <w:spacing w:beforeLines="50" w:line="280" w:lineRule="exact"/>
        <w:ind w:hanging="84"/>
        <w:rPr>
          <w:rFonts w:ascii="宋体" w:hAnsi="宋体"/>
          <w:bCs/>
          <w:color w:val="auto"/>
          <w:szCs w:val="21"/>
        </w:rPr>
      </w:pPr>
      <w:r>
        <w:rPr>
          <w:rFonts w:hint="eastAsia" w:ascii="宋体" w:hAnsi="宋体"/>
          <w:bCs/>
          <w:color w:val="auto"/>
          <w:szCs w:val="21"/>
        </w:rPr>
        <w:t>依法缴纳税收承诺书原件。</w:t>
      </w:r>
    </w:p>
    <w:p>
      <w:pPr>
        <w:numPr>
          <w:ilvl w:val="1"/>
          <w:numId w:val="9"/>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投标货物必须是经过市场检验证明的成熟产品；</w:t>
      </w:r>
    </w:p>
    <w:p>
      <w:pPr>
        <w:numPr>
          <w:ilvl w:val="1"/>
          <w:numId w:val="9"/>
        </w:numPr>
        <w:spacing w:beforeLines="50" w:line="320" w:lineRule="exact"/>
        <w:rPr>
          <w:rFonts w:ascii="宋体" w:hAnsi="宋体" w:cs="宋体"/>
          <w:color w:val="auto"/>
          <w:kern w:val="0"/>
          <w:sz w:val="24"/>
          <w:szCs w:val="21"/>
          <w:u w:val="single"/>
        </w:rPr>
      </w:pP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投标产品在近五年内在采购人处未发生过重大或批量质量问题；</w:t>
      </w:r>
    </w:p>
    <w:p>
      <w:pPr>
        <w:numPr>
          <w:ilvl w:val="1"/>
          <w:numId w:val="9"/>
        </w:numPr>
        <w:spacing w:beforeLines="50" w:line="320" w:lineRule="exact"/>
        <w:rPr>
          <w:rFonts w:ascii="宋体" w:hAnsi="宋体"/>
          <w:color w:val="auto"/>
          <w:szCs w:val="21"/>
        </w:rPr>
      </w:pPr>
      <w:r>
        <w:rPr>
          <w:rFonts w:hint="eastAsia" w:ascii="宋体" w:hAnsi="宋体"/>
          <w:color w:val="auto"/>
          <w:szCs w:val="21"/>
        </w:rPr>
        <w:t>投标人特定资格要求：</w:t>
      </w:r>
      <w:r>
        <w:rPr>
          <w:rFonts w:hint="eastAsia" w:ascii="宋体" w:hAnsi="宋体" w:cs="仿宋"/>
          <w:b/>
          <w:bCs/>
          <w:color w:val="auto"/>
          <w:szCs w:val="21"/>
        </w:rPr>
        <w:t>无</w:t>
      </w:r>
      <w:r>
        <w:rPr>
          <w:rFonts w:hint="eastAsia" w:ascii="宋体" w:hAnsi="宋体" w:cs="仿宋"/>
          <w:color w:val="auto"/>
          <w:kern w:val="0"/>
          <w:szCs w:val="21"/>
        </w:rPr>
        <w:t>；</w:t>
      </w:r>
    </w:p>
    <w:p>
      <w:pPr>
        <w:numPr>
          <w:ilvl w:val="1"/>
          <w:numId w:val="9"/>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法律、行政法规规定的其他条件。</w:t>
      </w:r>
    </w:p>
    <w:p>
      <w:pPr>
        <w:pStyle w:val="4"/>
        <w:numPr>
          <w:ilvl w:val="0"/>
          <w:numId w:val="6"/>
        </w:numPr>
        <w:adjustRightInd/>
        <w:spacing w:beforeLines="100" w:after="0" w:line="360" w:lineRule="exact"/>
        <w:textAlignment w:val="auto"/>
        <w:rPr>
          <w:rFonts w:ascii="宋体" w:hAnsi="宋体"/>
          <w:color w:val="auto"/>
          <w:sz w:val="24"/>
        </w:rPr>
      </w:pPr>
      <w:bookmarkStart w:id="25" w:name="_Toc193643684"/>
      <w:bookmarkStart w:id="26" w:name="_Toc134155410"/>
      <w:bookmarkStart w:id="27" w:name="_Toc103569365"/>
      <w:bookmarkStart w:id="28" w:name="_Toc261206947"/>
      <w:r>
        <w:rPr>
          <w:rFonts w:hint="eastAsia" w:ascii="宋体" w:hAnsi="宋体"/>
          <w:color w:val="auto"/>
          <w:sz w:val="24"/>
        </w:rPr>
        <w:tab/>
      </w:r>
      <w:bookmarkStart w:id="29" w:name="_Toc384934436"/>
      <w:r>
        <w:rPr>
          <w:rFonts w:hint="eastAsia" w:ascii="宋体" w:hAnsi="宋体"/>
          <w:color w:val="auto"/>
          <w:sz w:val="24"/>
        </w:rPr>
        <w:t>投标费用</w:t>
      </w:r>
      <w:bookmarkEnd w:id="25"/>
      <w:bookmarkEnd w:id="26"/>
      <w:bookmarkEnd w:id="27"/>
      <w:bookmarkEnd w:id="28"/>
      <w:bookmarkEnd w:id="29"/>
    </w:p>
    <w:p>
      <w:pPr>
        <w:numPr>
          <w:ilvl w:val="1"/>
          <w:numId w:val="11"/>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无论投标过程中的作法和结果如何，投标人自行承担所有与参加投标全过程有关的全部费用。</w:t>
      </w:r>
    </w:p>
    <w:p>
      <w:pPr>
        <w:pStyle w:val="4"/>
        <w:numPr>
          <w:ilvl w:val="0"/>
          <w:numId w:val="6"/>
        </w:numPr>
        <w:adjustRightInd/>
        <w:spacing w:beforeLines="100" w:after="0" w:line="360" w:lineRule="exact"/>
        <w:textAlignment w:val="auto"/>
        <w:rPr>
          <w:rFonts w:ascii="宋体" w:hAnsi="宋体"/>
          <w:color w:val="auto"/>
          <w:sz w:val="24"/>
        </w:rPr>
      </w:pPr>
      <w:bookmarkStart w:id="30" w:name="_Toc193643685"/>
      <w:bookmarkStart w:id="31" w:name="_Toc261206948"/>
      <w:r>
        <w:rPr>
          <w:rFonts w:hint="eastAsia" w:ascii="宋体" w:hAnsi="宋体"/>
          <w:color w:val="auto"/>
          <w:sz w:val="24"/>
        </w:rPr>
        <w:tab/>
      </w:r>
      <w:bookmarkStart w:id="32" w:name="_Toc384934437"/>
      <w:r>
        <w:rPr>
          <w:rFonts w:hint="eastAsia" w:ascii="宋体" w:hAnsi="宋体"/>
          <w:color w:val="auto"/>
          <w:sz w:val="24"/>
        </w:rPr>
        <w:t>联合体标/分项投标</w:t>
      </w:r>
      <w:bookmarkEnd w:id="30"/>
      <w:bookmarkEnd w:id="31"/>
      <w:bookmarkEnd w:id="32"/>
    </w:p>
    <w:p>
      <w:pPr>
        <w:numPr>
          <w:ilvl w:val="1"/>
          <w:numId w:val="12"/>
        </w:numPr>
        <w:spacing w:beforeLines="50" w:line="320" w:lineRule="exact"/>
        <w:rPr>
          <w:rFonts w:ascii="宋体" w:hAnsi="宋体"/>
          <w:color w:val="auto"/>
          <w:szCs w:val="21"/>
        </w:rPr>
      </w:pPr>
      <w:r>
        <w:rPr>
          <w:rFonts w:hint="eastAsia" w:ascii="宋体" w:hAnsi="宋体"/>
          <w:color w:val="auto"/>
          <w:szCs w:val="21"/>
        </w:rPr>
        <w:t>本项目不接受联合体投标。</w:t>
      </w:r>
    </w:p>
    <w:p>
      <w:pPr>
        <w:pStyle w:val="4"/>
        <w:numPr>
          <w:ilvl w:val="0"/>
          <w:numId w:val="6"/>
        </w:numPr>
        <w:adjustRightInd/>
        <w:spacing w:beforeLines="100" w:after="0" w:line="360" w:lineRule="exact"/>
        <w:textAlignment w:val="auto"/>
        <w:rPr>
          <w:rFonts w:ascii="宋体" w:hAnsi="宋体"/>
          <w:color w:val="auto"/>
          <w:sz w:val="24"/>
        </w:rPr>
      </w:pPr>
      <w:bookmarkStart w:id="33" w:name="_Toc261206949"/>
      <w:r>
        <w:rPr>
          <w:rFonts w:hint="eastAsia" w:ascii="宋体" w:hAnsi="宋体"/>
          <w:color w:val="auto"/>
          <w:sz w:val="24"/>
        </w:rPr>
        <w:tab/>
      </w:r>
      <w:bookmarkStart w:id="34" w:name="_Toc384934438"/>
      <w:r>
        <w:rPr>
          <w:rFonts w:hint="eastAsia" w:ascii="宋体" w:hAnsi="宋体"/>
          <w:color w:val="auto"/>
          <w:sz w:val="24"/>
        </w:rPr>
        <w:t>现场踏勘及技术交流</w:t>
      </w:r>
      <w:bookmarkEnd w:id="33"/>
      <w:bookmarkEnd w:id="34"/>
    </w:p>
    <w:p>
      <w:pPr>
        <w:numPr>
          <w:ilvl w:val="1"/>
          <w:numId w:val="13"/>
        </w:numPr>
        <w:spacing w:beforeLines="50" w:line="320" w:lineRule="exact"/>
        <w:rPr>
          <w:rFonts w:ascii="宋体" w:hAnsi="宋体"/>
          <w:color w:val="auto"/>
          <w:szCs w:val="21"/>
        </w:rPr>
      </w:pPr>
      <w:r>
        <w:rPr>
          <w:rFonts w:hint="eastAsia" w:ascii="宋体" w:hAnsi="宋体"/>
          <w:color w:val="auto"/>
          <w:szCs w:val="21"/>
        </w:rPr>
        <w:t>本次采购不安排现场踏勘。开标前投标人应主动与采购人进行技术交流，详细了解招标货物的技术特点及要求，以便使投标人的投标货物能准确的满足招标文件的技术要求。</w:t>
      </w:r>
    </w:p>
    <w:p>
      <w:pPr>
        <w:pStyle w:val="3"/>
        <w:numPr>
          <w:ilvl w:val="0"/>
          <w:numId w:val="5"/>
        </w:numPr>
        <w:adjustRightInd/>
        <w:spacing w:beforeLines="150" w:afterLines="50" w:line="360" w:lineRule="exact"/>
        <w:jc w:val="center"/>
        <w:textAlignment w:val="auto"/>
        <w:rPr>
          <w:rFonts w:ascii="宋体" w:hAnsi="宋体" w:eastAsia="宋体"/>
          <w:color w:val="auto"/>
          <w:sz w:val="30"/>
          <w:szCs w:val="30"/>
        </w:rPr>
      </w:pPr>
      <w:bookmarkStart w:id="35" w:name="_Toc134155411"/>
      <w:bookmarkStart w:id="36" w:name="_Toc261206950"/>
      <w:bookmarkStart w:id="37" w:name="_Toc384934439"/>
      <w:bookmarkStart w:id="38" w:name="_Toc103569366"/>
      <w:bookmarkStart w:id="39" w:name="_Toc193643687"/>
      <w:r>
        <w:rPr>
          <w:rFonts w:hint="eastAsia" w:ascii="宋体" w:hAnsi="宋体" w:eastAsia="宋体"/>
          <w:color w:val="auto"/>
          <w:sz w:val="30"/>
          <w:szCs w:val="30"/>
        </w:rPr>
        <w:t>招标文件</w:t>
      </w:r>
      <w:bookmarkEnd w:id="35"/>
      <w:bookmarkEnd w:id="36"/>
      <w:bookmarkEnd w:id="37"/>
      <w:bookmarkEnd w:id="38"/>
      <w:bookmarkEnd w:id="39"/>
    </w:p>
    <w:p>
      <w:pPr>
        <w:pStyle w:val="4"/>
        <w:numPr>
          <w:ilvl w:val="0"/>
          <w:numId w:val="6"/>
        </w:numPr>
        <w:adjustRightInd/>
        <w:spacing w:beforeLines="100" w:after="0" w:line="360" w:lineRule="exact"/>
        <w:textAlignment w:val="auto"/>
        <w:rPr>
          <w:rFonts w:ascii="宋体" w:hAnsi="宋体"/>
          <w:color w:val="auto"/>
          <w:sz w:val="24"/>
        </w:rPr>
      </w:pPr>
      <w:bookmarkStart w:id="40" w:name="_Toc261206951"/>
      <w:bookmarkStart w:id="41" w:name="_Toc134155412"/>
      <w:bookmarkStart w:id="42" w:name="_Toc193643688"/>
      <w:bookmarkStart w:id="43" w:name="_Toc103569367"/>
      <w:r>
        <w:rPr>
          <w:rFonts w:hint="eastAsia" w:ascii="宋体" w:hAnsi="宋体"/>
          <w:color w:val="auto"/>
          <w:sz w:val="24"/>
        </w:rPr>
        <w:tab/>
      </w:r>
      <w:bookmarkStart w:id="44" w:name="_Toc384934440"/>
      <w:r>
        <w:rPr>
          <w:rFonts w:hint="eastAsia" w:ascii="宋体" w:hAnsi="宋体"/>
          <w:color w:val="auto"/>
          <w:sz w:val="24"/>
        </w:rPr>
        <w:t>招标文件</w:t>
      </w:r>
      <w:bookmarkEnd w:id="40"/>
      <w:bookmarkEnd w:id="41"/>
      <w:bookmarkEnd w:id="42"/>
      <w:bookmarkEnd w:id="43"/>
      <w:bookmarkEnd w:id="44"/>
    </w:p>
    <w:p>
      <w:pPr>
        <w:numPr>
          <w:ilvl w:val="1"/>
          <w:numId w:val="14"/>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招标文件由下列文件及在招标过程中发出的修正和补充文件组成。</w:t>
      </w:r>
    </w:p>
    <w:p>
      <w:pPr>
        <w:numPr>
          <w:ilvl w:val="2"/>
          <w:numId w:val="15"/>
        </w:numPr>
        <w:spacing w:beforeLines="50" w:line="360" w:lineRule="exact"/>
        <w:rPr>
          <w:rFonts w:ascii="宋体" w:hAnsi="宋体"/>
          <w:color w:val="auto"/>
          <w:szCs w:val="21"/>
        </w:rPr>
      </w:pPr>
      <w:r>
        <w:rPr>
          <w:rFonts w:hint="eastAsia" w:ascii="宋体" w:hAnsi="宋体"/>
          <w:color w:val="auto"/>
          <w:szCs w:val="21"/>
        </w:rPr>
        <w:t>招标公告；</w:t>
      </w:r>
    </w:p>
    <w:p>
      <w:pPr>
        <w:numPr>
          <w:ilvl w:val="2"/>
          <w:numId w:val="15"/>
        </w:numPr>
        <w:spacing w:line="320" w:lineRule="exact"/>
        <w:rPr>
          <w:rFonts w:ascii="宋体" w:hAnsi="宋体"/>
          <w:color w:val="auto"/>
          <w:szCs w:val="21"/>
        </w:rPr>
      </w:pPr>
      <w:r>
        <w:rPr>
          <w:rFonts w:hint="eastAsia" w:ascii="宋体" w:hAnsi="宋体"/>
          <w:color w:val="auto"/>
          <w:szCs w:val="21"/>
        </w:rPr>
        <w:t>投标人须知；</w:t>
      </w:r>
    </w:p>
    <w:p>
      <w:pPr>
        <w:numPr>
          <w:ilvl w:val="2"/>
          <w:numId w:val="15"/>
        </w:numPr>
        <w:spacing w:line="320" w:lineRule="exact"/>
        <w:rPr>
          <w:rFonts w:ascii="宋体" w:hAnsi="宋体"/>
          <w:color w:val="auto"/>
          <w:szCs w:val="21"/>
        </w:rPr>
      </w:pPr>
      <w:r>
        <w:rPr>
          <w:rFonts w:hint="eastAsia" w:ascii="宋体" w:hAnsi="宋体"/>
          <w:bCs/>
          <w:color w:val="auto"/>
          <w:szCs w:val="21"/>
        </w:rPr>
        <w:t>合同条款；</w:t>
      </w:r>
    </w:p>
    <w:p>
      <w:pPr>
        <w:numPr>
          <w:ilvl w:val="2"/>
          <w:numId w:val="15"/>
        </w:numPr>
        <w:spacing w:line="320" w:lineRule="exact"/>
        <w:rPr>
          <w:rFonts w:ascii="宋体" w:hAnsi="宋体"/>
          <w:color w:val="auto"/>
          <w:szCs w:val="21"/>
        </w:rPr>
      </w:pPr>
      <w:r>
        <w:rPr>
          <w:rFonts w:hint="eastAsia" w:ascii="宋体" w:hAnsi="宋体"/>
          <w:color w:val="auto"/>
          <w:szCs w:val="21"/>
        </w:rPr>
        <w:t>技术规格及要求；</w:t>
      </w:r>
    </w:p>
    <w:p>
      <w:pPr>
        <w:numPr>
          <w:ilvl w:val="2"/>
          <w:numId w:val="15"/>
        </w:numPr>
        <w:spacing w:line="320" w:lineRule="exact"/>
        <w:rPr>
          <w:rFonts w:ascii="宋体" w:hAnsi="宋体"/>
          <w:color w:val="auto"/>
          <w:szCs w:val="21"/>
        </w:rPr>
      </w:pPr>
      <w:r>
        <w:rPr>
          <w:rFonts w:hint="eastAsia" w:ascii="宋体" w:hAnsi="宋体"/>
          <w:color w:val="auto"/>
          <w:szCs w:val="21"/>
        </w:rPr>
        <w:t>附件—投标文件格式。</w:t>
      </w:r>
    </w:p>
    <w:p>
      <w:pPr>
        <w:pStyle w:val="4"/>
        <w:numPr>
          <w:ilvl w:val="0"/>
          <w:numId w:val="6"/>
        </w:numPr>
        <w:adjustRightInd/>
        <w:spacing w:beforeLines="100" w:after="0" w:line="360" w:lineRule="exact"/>
        <w:textAlignment w:val="auto"/>
        <w:rPr>
          <w:rFonts w:ascii="宋体" w:hAnsi="宋体"/>
          <w:color w:val="auto"/>
          <w:sz w:val="24"/>
        </w:rPr>
      </w:pPr>
      <w:bookmarkStart w:id="45" w:name="_Toc134155413"/>
      <w:bookmarkStart w:id="46" w:name="_Toc103569368"/>
      <w:bookmarkStart w:id="47" w:name="_Toc193643689"/>
      <w:bookmarkStart w:id="48" w:name="_Toc261206952"/>
      <w:r>
        <w:rPr>
          <w:rFonts w:hint="eastAsia" w:ascii="宋体" w:hAnsi="宋体"/>
          <w:color w:val="auto"/>
          <w:sz w:val="24"/>
        </w:rPr>
        <w:tab/>
      </w:r>
      <w:bookmarkStart w:id="49" w:name="_Toc384934441"/>
      <w:r>
        <w:rPr>
          <w:rFonts w:hint="eastAsia" w:ascii="宋体" w:hAnsi="宋体"/>
          <w:color w:val="auto"/>
          <w:sz w:val="24"/>
        </w:rPr>
        <w:t>招标文件的澄清</w:t>
      </w:r>
      <w:bookmarkEnd w:id="45"/>
      <w:bookmarkEnd w:id="46"/>
      <w:bookmarkEnd w:id="47"/>
      <w:bookmarkEnd w:id="48"/>
      <w:bookmarkEnd w:id="49"/>
    </w:p>
    <w:p>
      <w:pPr>
        <w:numPr>
          <w:ilvl w:val="1"/>
          <w:numId w:val="16"/>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投标人收到招标文件时,应仔细检查招标文件的所有内容，包括页数和附件数量，如有残缺应在投标截止时间之前向招标人提出，否则，由此引起的投标损失自负；投标人同时应认真审阅招标文件所有事项、格式、条款和规范要求等，如投标人的投标文件不符合招标文件要求，其投标有可能被拒绝。</w:t>
      </w:r>
    </w:p>
    <w:p>
      <w:pPr>
        <w:numPr>
          <w:ilvl w:val="1"/>
          <w:numId w:val="16"/>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 xml:space="preserve">投标人应仔细阅读理解招标文件的所有内容,如对招标文件有疑点,可要求澄清。投标人应在投标截止时间之3天以前,按投标邀请中载明的地址以书面形式(包括信函、电传、电报、传真，下同)或电子邮件形式通知招标人，招标人将视情况确定技术交流或将视情况以书面或电子邮件形式在投标截止时间1天以前答复(包括对询问的解释，但不标明其来源)已购买招标文件的每一个投标人。 </w:t>
      </w:r>
    </w:p>
    <w:p>
      <w:pPr>
        <w:numPr>
          <w:ilvl w:val="1"/>
          <w:numId w:val="16"/>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如果投标人没有按本须知8.2款要求提出质疑,任何对招标文件的忽略或误解所引起的风险应由投标人自行承担。</w:t>
      </w:r>
    </w:p>
    <w:p>
      <w:pPr>
        <w:pStyle w:val="4"/>
        <w:numPr>
          <w:ilvl w:val="0"/>
          <w:numId w:val="6"/>
        </w:numPr>
        <w:adjustRightInd/>
        <w:spacing w:beforeLines="100" w:after="0" w:line="360" w:lineRule="exact"/>
        <w:textAlignment w:val="auto"/>
        <w:rPr>
          <w:rFonts w:ascii="宋体" w:hAnsi="宋体"/>
          <w:color w:val="auto"/>
          <w:sz w:val="24"/>
        </w:rPr>
      </w:pPr>
      <w:bookmarkStart w:id="50" w:name="_Toc103569369"/>
      <w:bookmarkStart w:id="51" w:name="_Toc134155414"/>
      <w:bookmarkStart w:id="52" w:name="_Toc193643690"/>
      <w:bookmarkStart w:id="53" w:name="_Toc261206953"/>
      <w:r>
        <w:rPr>
          <w:rFonts w:hint="eastAsia" w:ascii="宋体" w:hAnsi="宋体"/>
          <w:color w:val="auto"/>
          <w:sz w:val="24"/>
        </w:rPr>
        <w:tab/>
      </w:r>
      <w:bookmarkStart w:id="54" w:name="_Toc384934442"/>
      <w:r>
        <w:rPr>
          <w:rFonts w:hint="eastAsia" w:ascii="宋体" w:hAnsi="宋体"/>
          <w:color w:val="auto"/>
          <w:sz w:val="24"/>
        </w:rPr>
        <w:t>招标文件的修改</w:t>
      </w:r>
      <w:bookmarkEnd w:id="50"/>
      <w:bookmarkEnd w:id="51"/>
      <w:bookmarkEnd w:id="52"/>
      <w:bookmarkEnd w:id="53"/>
      <w:bookmarkEnd w:id="54"/>
    </w:p>
    <w:p>
      <w:pPr>
        <w:numPr>
          <w:ilvl w:val="1"/>
          <w:numId w:val="17"/>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在投标截止时间前，招标人无论出于自己的考虑，还是出于对投标人提问的澄清，均可对招标文件用补充文件的方式进行修改和补充。</w:t>
      </w:r>
    </w:p>
    <w:p>
      <w:pPr>
        <w:numPr>
          <w:ilvl w:val="1"/>
          <w:numId w:val="17"/>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对招标文件的修改和补充，将以信函、电报或传真的形式通知已购买招标文件的每一投标人。修改和补充文件将作为招标文件的组成部分，对所有投标人有约束力。投标人收到修改文件后,应立即以书面形式通知招标人,确认已经收到了修改文件。</w:t>
      </w:r>
    </w:p>
    <w:p>
      <w:pPr>
        <w:numPr>
          <w:ilvl w:val="1"/>
          <w:numId w:val="17"/>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为使投标人有足够的时间按招标文件的修改要求考虑修正投标文件，招标人可酌情推迟投标的截止日期和开标日期，并将此变更通知上述每一投标人。</w:t>
      </w:r>
    </w:p>
    <w:p>
      <w:pPr>
        <w:numPr>
          <w:ilvl w:val="1"/>
          <w:numId w:val="17"/>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招标文件澄清（答疑）纪要、招标文件修改补充通知内容均以书面明确的内容为准。当招标文件、修改补充通知、澄清（答疑）纪要内容发生矛盾时，以最后发出的通知（或纪要）或修改文件为准。</w:t>
      </w:r>
    </w:p>
    <w:p>
      <w:pPr>
        <w:pStyle w:val="3"/>
        <w:numPr>
          <w:ilvl w:val="0"/>
          <w:numId w:val="5"/>
        </w:numPr>
        <w:adjustRightInd/>
        <w:spacing w:beforeLines="150" w:afterLines="50" w:line="360" w:lineRule="exact"/>
        <w:jc w:val="center"/>
        <w:textAlignment w:val="auto"/>
        <w:rPr>
          <w:rFonts w:ascii="宋体" w:hAnsi="宋体" w:eastAsia="宋体"/>
          <w:color w:val="auto"/>
          <w:sz w:val="30"/>
          <w:szCs w:val="30"/>
        </w:rPr>
      </w:pPr>
      <w:bookmarkStart w:id="55" w:name="_Toc103569370"/>
      <w:bookmarkStart w:id="56" w:name="_Toc134155415"/>
      <w:bookmarkStart w:id="57" w:name="_Toc193643691"/>
      <w:bookmarkStart w:id="58" w:name="_Toc384934443"/>
      <w:bookmarkStart w:id="59" w:name="_Toc261206954"/>
      <w:r>
        <w:rPr>
          <w:rFonts w:hint="eastAsia" w:ascii="宋体" w:hAnsi="宋体" w:eastAsia="宋体"/>
          <w:color w:val="auto"/>
          <w:sz w:val="30"/>
          <w:szCs w:val="30"/>
        </w:rPr>
        <w:t>投标文件</w:t>
      </w:r>
      <w:bookmarkEnd w:id="55"/>
      <w:bookmarkEnd w:id="56"/>
      <w:r>
        <w:rPr>
          <w:rFonts w:hint="eastAsia" w:ascii="宋体" w:hAnsi="宋体" w:eastAsia="宋体"/>
          <w:color w:val="auto"/>
          <w:sz w:val="30"/>
          <w:szCs w:val="30"/>
        </w:rPr>
        <w:t>的编写</w:t>
      </w:r>
      <w:bookmarkEnd w:id="57"/>
      <w:bookmarkEnd w:id="58"/>
      <w:bookmarkEnd w:id="59"/>
    </w:p>
    <w:p>
      <w:pPr>
        <w:pStyle w:val="4"/>
        <w:numPr>
          <w:ilvl w:val="0"/>
          <w:numId w:val="6"/>
        </w:numPr>
        <w:adjustRightInd/>
        <w:spacing w:beforeLines="100" w:after="0" w:line="360" w:lineRule="exact"/>
        <w:textAlignment w:val="auto"/>
        <w:rPr>
          <w:rFonts w:ascii="宋体" w:hAnsi="宋体"/>
          <w:color w:val="auto"/>
          <w:sz w:val="24"/>
        </w:rPr>
      </w:pPr>
      <w:bookmarkStart w:id="60" w:name="_Toc193643692"/>
      <w:bookmarkStart w:id="61" w:name="_Toc261206955"/>
      <w:r>
        <w:rPr>
          <w:rFonts w:hint="eastAsia" w:ascii="宋体" w:hAnsi="宋体"/>
          <w:color w:val="auto"/>
          <w:sz w:val="24"/>
        </w:rPr>
        <w:tab/>
      </w:r>
      <w:bookmarkStart w:id="62" w:name="_Toc384934444"/>
      <w:r>
        <w:rPr>
          <w:rFonts w:hint="eastAsia" w:ascii="宋体" w:hAnsi="宋体"/>
          <w:color w:val="auto"/>
          <w:sz w:val="24"/>
        </w:rPr>
        <w:t>投标文件的编写要求</w:t>
      </w:r>
      <w:bookmarkEnd w:id="60"/>
      <w:bookmarkEnd w:id="61"/>
      <w:bookmarkEnd w:id="62"/>
    </w:p>
    <w:p>
      <w:pPr>
        <w:numPr>
          <w:ilvl w:val="1"/>
          <w:numId w:val="18"/>
        </w:numPr>
        <w:spacing w:beforeLines="50" w:line="320" w:lineRule="exact"/>
        <w:rPr>
          <w:rFonts w:ascii="宋体" w:hAnsi="宋体"/>
          <w:color w:val="auto"/>
          <w:szCs w:val="21"/>
        </w:rPr>
      </w:pPr>
      <w:r>
        <w:rPr>
          <w:rFonts w:hint="eastAsia" w:ascii="宋体" w:hAnsi="宋体"/>
          <w:color w:val="auto"/>
          <w:szCs w:val="21"/>
        </w:rPr>
        <w:t>投标人应按招标文件的要求编写投标文件,并保证所提供的全部资料真实有效,对招标文件作出实质性的响应。</w:t>
      </w:r>
    </w:p>
    <w:p>
      <w:pPr>
        <w:pStyle w:val="4"/>
        <w:numPr>
          <w:ilvl w:val="0"/>
          <w:numId w:val="6"/>
        </w:numPr>
        <w:adjustRightInd/>
        <w:spacing w:beforeLines="100" w:after="0" w:line="360" w:lineRule="exact"/>
        <w:textAlignment w:val="auto"/>
        <w:rPr>
          <w:rFonts w:ascii="宋体" w:hAnsi="宋体"/>
          <w:color w:val="auto"/>
          <w:sz w:val="24"/>
        </w:rPr>
      </w:pPr>
      <w:bookmarkStart w:id="63" w:name="_Toc134155416"/>
      <w:bookmarkStart w:id="64" w:name="_Toc261206956"/>
      <w:bookmarkStart w:id="65" w:name="_Toc193643693"/>
      <w:bookmarkStart w:id="66" w:name="_Toc103569371"/>
      <w:r>
        <w:rPr>
          <w:rFonts w:hint="eastAsia" w:ascii="宋体" w:hAnsi="宋体"/>
          <w:color w:val="auto"/>
          <w:sz w:val="24"/>
        </w:rPr>
        <w:tab/>
      </w:r>
      <w:bookmarkStart w:id="67" w:name="_Toc384934445"/>
      <w:r>
        <w:rPr>
          <w:rFonts w:hint="eastAsia" w:ascii="宋体" w:hAnsi="宋体"/>
          <w:color w:val="auto"/>
          <w:sz w:val="24"/>
        </w:rPr>
        <w:t>投标文件的语言及计量单位</w:t>
      </w:r>
      <w:bookmarkEnd w:id="63"/>
      <w:bookmarkEnd w:id="64"/>
      <w:bookmarkEnd w:id="65"/>
      <w:bookmarkEnd w:id="66"/>
      <w:bookmarkEnd w:id="67"/>
    </w:p>
    <w:p>
      <w:pPr>
        <w:numPr>
          <w:ilvl w:val="1"/>
          <w:numId w:val="19"/>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投标人提交的投标文件及投标人与招标人就有关投标的所有来往函电均使用中文。</w:t>
      </w:r>
    </w:p>
    <w:p>
      <w:pPr>
        <w:numPr>
          <w:ilvl w:val="1"/>
          <w:numId w:val="19"/>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投标文件中所使用的计量单位，除招标文件中有特殊要求外，应采用国家法定计量单位(国际单位制和国家选定的其它计量单位)。</w:t>
      </w:r>
    </w:p>
    <w:p>
      <w:pPr>
        <w:pStyle w:val="4"/>
        <w:numPr>
          <w:ilvl w:val="0"/>
          <w:numId w:val="6"/>
        </w:numPr>
        <w:adjustRightInd/>
        <w:spacing w:beforeLines="100" w:after="0" w:line="360" w:lineRule="exact"/>
        <w:textAlignment w:val="auto"/>
        <w:rPr>
          <w:rFonts w:ascii="宋体" w:hAnsi="宋体"/>
          <w:color w:val="auto"/>
          <w:sz w:val="24"/>
        </w:rPr>
      </w:pPr>
      <w:bookmarkStart w:id="68" w:name="_Toc193643694"/>
      <w:bookmarkStart w:id="69" w:name="_Toc103569372"/>
      <w:bookmarkStart w:id="70" w:name="_Toc261206957"/>
      <w:bookmarkStart w:id="71" w:name="_Toc134155417"/>
      <w:r>
        <w:rPr>
          <w:rFonts w:hint="eastAsia" w:ascii="宋体" w:hAnsi="宋体"/>
          <w:color w:val="auto"/>
          <w:sz w:val="24"/>
        </w:rPr>
        <w:tab/>
      </w:r>
      <w:bookmarkStart w:id="72" w:name="_Toc384934446"/>
      <w:r>
        <w:rPr>
          <w:rFonts w:hint="eastAsia" w:ascii="宋体" w:hAnsi="宋体"/>
          <w:color w:val="auto"/>
          <w:sz w:val="24"/>
        </w:rPr>
        <w:t>投标文件的组成</w:t>
      </w:r>
      <w:bookmarkEnd w:id="68"/>
      <w:bookmarkEnd w:id="69"/>
      <w:bookmarkEnd w:id="70"/>
      <w:bookmarkEnd w:id="71"/>
      <w:bookmarkEnd w:id="72"/>
    </w:p>
    <w:p>
      <w:pPr>
        <w:pStyle w:val="18"/>
        <w:adjustRightInd w:val="0"/>
        <w:snapToGrid w:val="0"/>
        <w:spacing w:beforeLines="20" w:afterLines="20" w:line="320" w:lineRule="atLeast"/>
        <w:ind w:left="680"/>
        <w:rPr>
          <w:rFonts w:ascii="宋体" w:hAnsi="宋体"/>
          <w:bCs/>
          <w:color w:val="auto"/>
          <w:sz w:val="21"/>
          <w:szCs w:val="21"/>
        </w:rPr>
      </w:pPr>
      <w:r>
        <w:rPr>
          <w:rFonts w:hint="eastAsia" w:ascii="宋体" w:hAnsi="宋体"/>
          <w:bCs/>
          <w:color w:val="auto"/>
          <w:sz w:val="21"/>
          <w:szCs w:val="21"/>
        </w:rPr>
        <w:t>除了招标文件已经有要求的条款外，投标人必须提供以下带“</w:t>
      </w:r>
      <w:r>
        <w:rPr>
          <w:rFonts w:hint="eastAsia" w:ascii="宋体" w:hAnsi="宋体"/>
          <w:b/>
          <w:color w:val="auto"/>
          <w:sz w:val="21"/>
          <w:szCs w:val="21"/>
        </w:rPr>
        <w:t>*</w:t>
      </w:r>
      <w:r>
        <w:rPr>
          <w:rFonts w:hint="eastAsia" w:ascii="宋体" w:hAnsi="宋体"/>
          <w:bCs/>
          <w:color w:val="auto"/>
          <w:sz w:val="21"/>
          <w:szCs w:val="21"/>
        </w:rPr>
        <w:t>”号的条款内容，否则招标人有权拒绝其投标。除注明可用复印件的外，其余的必须提供原件。</w:t>
      </w:r>
    </w:p>
    <w:p>
      <w:pPr>
        <w:numPr>
          <w:ilvl w:val="1"/>
          <w:numId w:val="20"/>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投标报价文件</w:t>
      </w:r>
    </w:p>
    <w:p>
      <w:pPr>
        <w:numPr>
          <w:ilvl w:val="0"/>
          <w:numId w:val="21"/>
        </w:numPr>
        <w:snapToGrid w:val="0"/>
        <w:spacing w:beforeLines="50" w:line="280" w:lineRule="exact"/>
        <w:ind w:hanging="264"/>
        <w:rPr>
          <w:rFonts w:ascii="宋体" w:hAnsi="宋体"/>
          <w:color w:val="auto"/>
          <w:szCs w:val="21"/>
        </w:rPr>
      </w:pPr>
      <w:r>
        <w:rPr>
          <w:rFonts w:hint="eastAsia" w:ascii="宋体" w:hAnsi="宋体"/>
          <w:color w:val="auto"/>
          <w:szCs w:val="21"/>
        </w:rPr>
        <w:t>*</w:t>
      </w:r>
      <w:r>
        <w:rPr>
          <w:rFonts w:hint="eastAsia" w:ascii="宋体" w:hAnsi="宋体"/>
          <w:color w:val="auto"/>
        </w:rPr>
        <w:t>投标声明</w:t>
      </w:r>
    </w:p>
    <w:p>
      <w:pPr>
        <w:numPr>
          <w:ilvl w:val="0"/>
          <w:numId w:val="21"/>
        </w:numPr>
        <w:snapToGrid w:val="0"/>
        <w:spacing w:beforeLines="50" w:line="280" w:lineRule="exact"/>
        <w:ind w:hanging="264"/>
        <w:rPr>
          <w:rFonts w:ascii="宋体" w:hAnsi="宋体"/>
          <w:color w:val="auto"/>
          <w:szCs w:val="21"/>
        </w:rPr>
      </w:pPr>
      <w:r>
        <w:rPr>
          <w:rFonts w:hint="eastAsia" w:ascii="宋体" w:hAnsi="宋体"/>
          <w:color w:val="auto"/>
          <w:szCs w:val="21"/>
        </w:rPr>
        <w:t>*</w:t>
      </w:r>
      <w:r>
        <w:rPr>
          <w:rFonts w:hint="eastAsia" w:ascii="宋体" w:hAnsi="宋体"/>
          <w:color w:val="auto"/>
        </w:rPr>
        <w:t>开标一览表</w:t>
      </w:r>
    </w:p>
    <w:p>
      <w:pPr>
        <w:numPr>
          <w:ilvl w:val="0"/>
          <w:numId w:val="21"/>
        </w:numPr>
        <w:snapToGrid w:val="0"/>
        <w:spacing w:beforeLines="50" w:line="280" w:lineRule="exact"/>
        <w:ind w:hanging="264"/>
        <w:rPr>
          <w:rFonts w:ascii="宋体" w:hAnsi="宋体"/>
          <w:color w:val="auto"/>
          <w:szCs w:val="21"/>
        </w:rPr>
      </w:pPr>
      <w:r>
        <w:rPr>
          <w:rFonts w:hint="eastAsia" w:ascii="宋体" w:hAnsi="宋体"/>
          <w:color w:val="auto"/>
          <w:szCs w:val="21"/>
        </w:rPr>
        <w:t>*</w:t>
      </w:r>
      <w:r>
        <w:rPr>
          <w:rFonts w:hint="eastAsia" w:ascii="宋体" w:hAnsi="宋体"/>
          <w:color w:val="auto"/>
        </w:rPr>
        <w:t>投标货物报价详细说明表</w:t>
      </w:r>
    </w:p>
    <w:p>
      <w:pPr>
        <w:numPr>
          <w:ilvl w:val="1"/>
          <w:numId w:val="20"/>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商务响应文件</w:t>
      </w:r>
    </w:p>
    <w:p>
      <w:pPr>
        <w:numPr>
          <w:ilvl w:val="0"/>
          <w:numId w:val="22"/>
        </w:numPr>
        <w:snapToGrid w:val="0"/>
        <w:spacing w:beforeLines="50" w:line="280" w:lineRule="exact"/>
        <w:ind w:hanging="264"/>
        <w:rPr>
          <w:rFonts w:ascii="宋体" w:hAnsi="宋体"/>
          <w:color w:val="auto"/>
          <w:szCs w:val="21"/>
        </w:rPr>
      </w:pPr>
      <w:r>
        <w:rPr>
          <w:rFonts w:hint="eastAsia" w:ascii="宋体" w:hAnsi="宋体"/>
          <w:color w:val="auto"/>
          <w:szCs w:val="21"/>
        </w:rPr>
        <w:t>*</w:t>
      </w:r>
      <w:r>
        <w:rPr>
          <w:rFonts w:hint="eastAsia" w:ascii="宋体" w:hAnsi="宋体"/>
          <w:color w:val="auto"/>
        </w:rPr>
        <w:t>法定代表人授权委托书</w:t>
      </w:r>
    </w:p>
    <w:p>
      <w:pPr>
        <w:numPr>
          <w:ilvl w:val="0"/>
          <w:numId w:val="22"/>
        </w:numPr>
        <w:snapToGrid w:val="0"/>
        <w:spacing w:beforeLines="50" w:line="280" w:lineRule="exact"/>
        <w:ind w:hanging="264"/>
        <w:rPr>
          <w:rFonts w:ascii="宋体" w:hAnsi="宋体"/>
          <w:color w:val="auto"/>
          <w:szCs w:val="21"/>
        </w:rPr>
      </w:pPr>
      <w:r>
        <w:rPr>
          <w:rFonts w:hint="eastAsia" w:ascii="宋体" w:hAnsi="宋体"/>
          <w:color w:val="auto"/>
        </w:rPr>
        <w:t>资格证明文件</w:t>
      </w:r>
    </w:p>
    <w:p>
      <w:pPr>
        <w:numPr>
          <w:ilvl w:val="1"/>
          <w:numId w:val="23"/>
        </w:numPr>
        <w:spacing w:beforeLines="50" w:line="320" w:lineRule="exact"/>
        <w:ind w:firstLine="720"/>
        <w:rPr>
          <w:rFonts w:ascii="宋体" w:hAnsi="宋体"/>
          <w:color w:val="auto"/>
          <w:szCs w:val="21"/>
        </w:rPr>
      </w:pPr>
      <w:r>
        <w:rPr>
          <w:rFonts w:hint="eastAsia" w:ascii="宋体" w:hAnsi="宋体"/>
          <w:color w:val="auto"/>
          <w:szCs w:val="21"/>
        </w:rPr>
        <w:t>*营业执照(复印件，加盖公司公章)</w:t>
      </w:r>
    </w:p>
    <w:p>
      <w:pPr>
        <w:numPr>
          <w:ilvl w:val="1"/>
          <w:numId w:val="23"/>
        </w:numPr>
        <w:spacing w:line="320" w:lineRule="exact"/>
        <w:ind w:firstLine="720"/>
        <w:rPr>
          <w:rFonts w:ascii="宋体" w:hAnsi="宋体"/>
          <w:color w:val="auto"/>
          <w:szCs w:val="21"/>
        </w:rPr>
      </w:pPr>
      <w:r>
        <w:rPr>
          <w:rFonts w:hint="eastAsia" w:ascii="宋体" w:hAnsi="宋体"/>
          <w:color w:val="auto"/>
          <w:szCs w:val="21"/>
        </w:rPr>
        <w:t>*投标人近半年连续三个月单位税缴纳税收及社会保险证明材料(复印件盖公司公章)</w:t>
      </w:r>
    </w:p>
    <w:p>
      <w:pPr>
        <w:numPr>
          <w:ilvl w:val="1"/>
          <w:numId w:val="23"/>
        </w:numPr>
        <w:spacing w:line="320" w:lineRule="exact"/>
        <w:ind w:firstLine="720"/>
        <w:rPr>
          <w:rFonts w:ascii="宋体" w:hAnsi="宋体"/>
          <w:color w:val="auto"/>
          <w:szCs w:val="21"/>
        </w:rPr>
      </w:pPr>
      <w:r>
        <w:rPr>
          <w:rFonts w:hint="eastAsia" w:ascii="宋体" w:hAnsi="宋体"/>
          <w:color w:val="auto"/>
          <w:szCs w:val="21"/>
        </w:rPr>
        <w:t>投标人简介</w:t>
      </w:r>
    </w:p>
    <w:p>
      <w:pPr>
        <w:numPr>
          <w:ilvl w:val="0"/>
          <w:numId w:val="22"/>
        </w:numPr>
        <w:snapToGrid w:val="0"/>
        <w:spacing w:beforeLines="50" w:line="280" w:lineRule="exact"/>
        <w:ind w:hanging="264"/>
        <w:rPr>
          <w:rFonts w:ascii="宋体" w:hAnsi="宋体"/>
          <w:color w:val="auto"/>
          <w:szCs w:val="21"/>
        </w:rPr>
      </w:pPr>
      <w:r>
        <w:rPr>
          <w:rFonts w:hint="eastAsia" w:ascii="宋体" w:hAnsi="宋体"/>
          <w:color w:val="auto"/>
        </w:rPr>
        <w:t>商务条款偏离表</w:t>
      </w:r>
    </w:p>
    <w:p>
      <w:pPr>
        <w:numPr>
          <w:ilvl w:val="1"/>
          <w:numId w:val="20"/>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技术响应文件</w:t>
      </w:r>
    </w:p>
    <w:p>
      <w:pPr>
        <w:numPr>
          <w:ilvl w:val="0"/>
          <w:numId w:val="24"/>
        </w:numPr>
        <w:snapToGrid w:val="0"/>
        <w:spacing w:line="320" w:lineRule="exact"/>
        <w:ind w:hanging="331"/>
        <w:rPr>
          <w:rFonts w:ascii="宋体" w:hAnsi="宋体"/>
          <w:color w:val="auto"/>
          <w:szCs w:val="21"/>
        </w:rPr>
      </w:pPr>
      <w:r>
        <w:rPr>
          <w:rFonts w:hint="eastAsia" w:ascii="宋体" w:hAnsi="宋体"/>
          <w:color w:val="auto"/>
          <w:szCs w:val="21"/>
        </w:rPr>
        <w:t>投标货物技术偏离表</w:t>
      </w:r>
    </w:p>
    <w:p>
      <w:pPr>
        <w:numPr>
          <w:ilvl w:val="0"/>
          <w:numId w:val="24"/>
        </w:numPr>
        <w:snapToGrid w:val="0"/>
        <w:spacing w:line="320" w:lineRule="exact"/>
        <w:ind w:hanging="331"/>
        <w:rPr>
          <w:rFonts w:ascii="宋体" w:hAnsi="宋体"/>
          <w:color w:val="auto"/>
          <w:szCs w:val="21"/>
        </w:rPr>
      </w:pPr>
      <w:r>
        <w:rPr>
          <w:rFonts w:hint="eastAsia" w:ascii="宋体" w:hAnsi="宋体"/>
          <w:color w:val="auto"/>
          <w:szCs w:val="21"/>
        </w:rPr>
        <w:t>投标货物技术简要说明</w:t>
      </w:r>
    </w:p>
    <w:p>
      <w:pPr>
        <w:numPr>
          <w:ilvl w:val="0"/>
          <w:numId w:val="24"/>
        </w:numPr>
        <w:snapToGrid w:val="0"/>
        <w:spacing w:line="320" w:lineRule="exact"/>
        <w:ind w:hanging="331"/>
        <w:rPr>
          <w:rFonts w:ascii="宋体" w:hAnsi="宋体"/>
          <w:color w:val="auto"/>
          <w:szCs w:val="21"/>
        </w:rPr>
      </w:pPr>
      <w:r>
        <w:rPr>
          <w:rFonts w:hint="eastAsia" w:ascii="宋体" w:hAnsi="宋体"/>
          <w:color w:val="auto"/>
          <w:szCs w:val="21"/>
        </w:rPr>
        <w:t>*售后服务承诺书</w:t>
      </w:r>
    </w:p>
    <w:p>
      <w:pPr>
        <w:numPr>
          <w:ilvl w:val="0"/>
          <w:numId w:val="24"/>
        </w:numPr>
        <w:snapToGrid w:val="0"/>
        <w:spacing w:line="320" w:lineRule="exact"/>
        <w:ind w:hanging="331"/>
        <w:rPr>
          <w:rFonts w:ascii="宋体" w:hAnsi="宋体"/>
          <w:color w:val="auto"/>
          <w:szCs w:val="21"/>
        </w:rPr>
      </w:pPr>
      <w:r>
        <w:rPr>
          <w:rFonts w:hint="eastAsia" w:ascii="宋体" w:hAnsi="宋体"/>
          <w:color w:val="auto"/>
          <w:szCs w:val="21"/>
        </w:rPr>
        <w:t>投标货物彩色样本资料（及其他类似技术资料）</w:t>
      </w:r>
    </w:p>
    <w:p>
      <w:pPr>
        <w:numPr>
          <w:ilvl w:val="0"/>
          <w:numId w:val="24"/>
        </w:numPr>
        <w:snapToGrid w:val="0"/>
        <w:spacing w:line="320" w:lineRule="exact"/>
        <w:ind w:hanging="331"/>
        <w:rPr>
          <w:rFonts w:ascii="宋体" w:hAnsi="宋体"/>
          <w:b/>
          <w:color w:val="auto"/>
          <w:szCs w:val="21"/>
        </w:rPr>
      </w:pPr>
      <w:r>
        <w:rPr>
          <w:rFonts w:hint="eastAsia" w:ascii="宋体" w:hAnsi="宋体"/>
          <w:color w:val="auto"/>
          <w:szCs w:val="21"/>
        </w:rPr>
        <w:t>货物制造、验收规范等</w:t>
      </w:r>
    </w:p>
    <w:p>
      <w:pPr>
        <w:numPr>
          <w:ilvl w:val="0"/>
          <w:numId w:val="24"/>
        </w:numPr>
        <w:snapToGrid w:val="0"/>
        <w:spacing w:line="320" w:lineRule="exact"/>
        <w:ind w:hanging="331"/>
        <w:rPr>
          <w:rFonts w:ascii="宋体" w:hAnsi="宋体"/>
          <w:color w:val="auto"/>
          <w:szCs w:val="21"/>
        </w:rPr>
      </w:pPr>
      <w:r>
        <w:rPr>
          <w:rFonts w:hint="eastAsia" w:ascii="宋体" w:hAnsi="宋体"/>
          <w:color w:val="auto"/>
          <w:szCs w:val="21"/>
        </w:rPr>
        <w:t>投标产品的产品介绍、技术参数</w:t>
      </w:r>
    </w:p>
    <w:p>
      <w:pPr>
        <w:snapToGrid w:val="0"/>
        <w:spacing w:line="320" w:lineRule="exact"/>
        <w:rPr>
          <w:rFonts w:ascii="宋体" w:hAnsi="宋体"/>
          <w:color w:val="auto"/>
          <w:szCs w:val="21"/>
        </w:rPr>
      </w:pPr>
      <w:r>
        <w:rPr>
          <w:rFonts w:hint="eastAsia" w:ascii="宋体" w:hAnsi="宋体"/>
          <w:color w:val="auto"/>
          <w:szCs w:val="21"/>
        </w:rPr>
        <w:t>12.4 投标技术方案</w:t>
      </w:r>
    </w:p>
    <w:p>
      <w:pPr>
        <w:pStyle w:val="18"/>
        <w:adjustRightInd w:val="0"/>
        <w:snapToGrid w:val="0"/>
        <w:spacing w:line="320" w:lineRule="exact"/>
        <w:ind w:firstLine="525" w:firstLineChars="250"/>
        <w:rPr>
          <w:rFonts w:ascii="宋体" w:hAnsi="宋体"/>
          <w:bCs/>
          <w:color w:val="auto"/>
          <w:sz w:val="21"/>
          <w:szCs w:val="21"/>
        </w:rPr>
      </w:pPr>
      <w:r>
        <w:rPr>
          <w:rFonts w:hint="eastAsia" w:ascii="宋体" w:hAnsi="宋体"/>
          <w:bCs/>
          <w:color w:val="auto"/>
          <w:sz w:val="21"/>
          <w:szCs w:val="21"/>
        </w:rPr>
        <w:t>除了12.1、12.2、12.3条要求外，投标人的技术方案还应包含以下内容：</w:t>
      </w:r>
    </w:p>
    <w:p>
      <w:pPr>
        <w:numPr>
          <w:ilvl w:val="0"/>
          <w:numId w:val="25"/>
        </w:numPr>
        <w:snapToGrid w:val="0"/>
        <w:spacing w:line="320" w:lineRule="exact"/>
        <w:ind w:hanging="264"/>
        <w:rPr>
          <w:rFonts w:ascii="宋体" w:hAnsi="宋体"/>
          <w:color w:val="auto"/>
          <w:szCs w:val="21"/>
        </w:rPr>
      </w:pPr>
      <w:r>
        <w:rPr>
          <w:rFonts w:hint="eastAsia" w:ascii="宋体" w:hAnsi="宋体"/>
          <w:color w:val="auto"/>
          <w:szCs w:val="21"/>
        </w:rPr>
        <w:t>货物组成系统说明，货物主要技术资料和性能的详细描述，货物制造、安装（提供货物安装施工方案）、验收规范等；</w:t>
      </w:r>
    </w:p>
    <w:p>
      <w:pPr>
        <w:numPr>
          <w:ilvl w:val="0"/>
          <w:numId w:val="25"/>
        </w:numPr>
        <w:snapToGrid w:val="0"/>
        <w:spacing w:beforeLines="50" w:line="280" w:lineRule="exact"/>
        <w:ind w:hanging="264"/>
        <w:rPr>
          <w:rFonts w:ascii="宋体" w:hAnsi="宋体"/>
          <w:color w:val="auto"/>
          <w:szCs w:val="21"/>
        </w:rPr>
      </w:pPr>
      <w:r>
        <w:rPr>
          <w:rFonts w:hint="eastAsia" w:ascii="宋体" w:hAnsi="宋体"/>
          <w:color w:val="auto"/>
          <w:szCs w:val="21"/>
        </w:rPr>
        <w:t>关键元器件明细表（包括制造厂名和国别）；</w:t>
      </w:r>
    </w:p>
    <w:p>
      <w:pPr>
        <w:numPr>
          <w:ilvl w:val="0"/>
          <w:numId w:val="25"/>
        </w:numPr>
        <w:snapToGrid w:val="0"/>
        <w:spacing w:beforeLines="50" w:line="280" w:lineRule="exact"/>
        <w:ind w:hanging="264"/>
        <w:rPr>
          <w:rFonts w:ascii="宋体" w:hAnsi="宋体"/>
          <w:color w:val="auto"/>
          <w:szCs w:val="21"/>
        </w:rPr>
      </w:pPr>
      <w:r>
        <w:rPr>
          <w:rFonts w:hint="eastAsia" w:ascii="宋体" w:hAnsi="宋体"/>
          <w:color w:val="auto"/>
          <w:szCs w:val="21"/>
        </w:rPr>
        <w:t>详细的交货清单；</w:t>
      </w:r>
    </w:p>
    <w:p>
      <w:pPr>
        <w:numPr>
          <w:ilvl w:val="0"/>
          <w:numId w:val="25"/>
        </w:numPr>
        <w:snapToGrid w:val="0"/>
        <w:spacing w:beforeLines="50" w:line="280" w:lineRule="exact"/>
        <w:ind w:hanging="264"/>
        <w:rPr>
          <w:rFonts w:ascii="宋体" w:hAnsi="宋体"/>
          <w:color w:val="auto"/>
          <w:szCs w:val="21"/>
        </w:rPr>
      </w:pPr>
      <w:r>
        <w:rPr>
          <w:rFonts w:hint="eastAsia" w:ascii="宋体" w:hAnsi="宋体"/>
          <w:color w:val="auto"/>
          <w:szCs w:val="21"/>
        </w:rPr>
        <w:t xml:space="preserve">特殊工具及备件清单； </w:t>
      </w:r>
    </w:p>
    <w:p>
      <w:pPr>
        <w:numPr>
          <w:ilvl w:val="0"/>
          <w:numId w:val="25"/>
        </w:numPr>
        <w:snapToGrid w:val="0"/>
        <w:spacing w:beforeLines="50" w:line="280" w:lineRule="exact"/>
        <w:ind w:hanging="264"/>
        <w:rPr>
          <w:rFonts w:ascii="宋体" w:hAnsi="宋体"/>
          <w:color w:val="auto"/>
          <w:szCs w:val="21"/>
        </w:rPr>
      </w:pPr>
      <w:r>
        <w:rPr>
          <w:rFonts w:hint="eastAsia" w:ascii="宋体" w:hAnsi="宋体"/>
          <w:color w:val="auto"/>
          <w:szCs w:val="21"/>
        </w:rPr>
        <w:t>投标人推荐的供选择的配套货物表；</w:t>
      </w:r>
    </w:p>
    <w:p>
      <w:pPr>
        <w:numPr>
          <w:ilvl w:val="0"/>
          <w:numId w:val="25"/>
        </w:numPr>
        <w:snapToGrid w:val="0"/>
        <w:spacing w:beforeLines="50" w:line="320" w:lineRule="exact"/>
        <w:ind w:hanging="264"/>
        <w:rPr>
          <w:rFonts w:ascii="宋体" w:hAnsi="宋体"/>
          <w:color w:val="auto"/>
          <w:szCs w:val="21"/>
        </w:rPr>
      </w:pPr>
      <w:r>
        <w:rPr>
          <w:rFonts w:hint="eastAsia" w:ascii="宋体" w:hAnsi="宋体"/>
          <w:color w:val="auto"/>
          <w:szCs w:val="21"/>
        </w:rPr>
        <w:t>投标人提出的合理化建议（如对招标货物的规格、性能、材质、配套货物提出更为合</w:t>
      </w:r>
    </w:p>
    <w:p>
      <w:pPr>
        <w:snapToGrid w:val="0"/>
        <w:spacing w:beforeLines="50" w:line="320" w:lineRule="exact"/>
        <w:ind w:left="359" w:leftChars="171" w:firstLine="525" w:firstLineChars="250"/>
        <w:rPr>
          <w:rFonts w:ascii="宋体" w:hAnsi="宋体"/>
          <w:color w:val="auto"/>
          <w:szCs w:val="21"/>
        </w:rPr>
      </w:pPr>
      <w:r>
        <w:rPr>
          <w:rFonts w:hint="eastAsia" w:ascii="宋体" w:hAnsi="宋体"/>
          <w:color w:val="auto"/>
          <w:szCs w:val="21"/>
        </w:rPr>
        <w:t>理的替代方案等）。</w:t>
      </w:r>
    </w:p>
    <w:p>
      <w:pPr>
        <w:pStyle w:val="18"/>
        <w:adjustRightInd w:val="0"/>
        <w:snapToGrid w:val="0"/>
        <w:spacing w:beforeLines="50" w:line="320" w:lineRule="exact"/>
        <w:ind w:left="735" w:leftChars="350"/>
        <w:rPr>
          <w:rFonts w:ascii="宋体" w:hAnsi="宋体"/>
          <w:color w:val="auto"/>
          <w:sz w:val="21"/>
          <w:szCs w:val="21"/>
        </w:rPr>
      </w:pPr>
      <w:r>
        <w:rPr>
          <w:rFonts w:hint="eastAsia" w:ascii="宋体" w:hAnsi="宋体"/>
          <w:bCs/>
          <w:color w:val="auto"/>
          <w:sz w:val="21"/>
          <w:szCs w:val="21"/>
        </w:rPr>
        <w:t>投标文件中技术方案由投标人视需要自行编制。规格幅面应与正文一致，附于正文之后，与正文页码统一编目编码装订。</w:t>
      </w:r>
    </w:p>
    <w:p>
      <w:pPr>
        <w:pStyle w:val="4"/>
        <w:numPr>
          <w:ilvl w:val="0"/>
          <w:numId w:val="6"/>
        </w:numPr>
        <w:adjustRightInd/>
        <w:spacing w:beforeLines="100" w:after="0" w:line="360" w:lineRule="exact"/>
        <w:textAlignment w:val="auto"/>
        <w:rPr>
          <w:rFonts w:ascii="宋体" w:hAnsi="宋体"/>
          <w:color w:val="auto"/>
          <w:sz w:val="24"/>
        </w:rPr>
      </w:pPr>
      <w:bookmarkStart w:id="73" w:name="_Toc134155418"/>
      <w:bookmarkStart w:id="74" w:name="_Toc103569373"/>
      <w:bookmarkStart w:id="75" w:name="_Toc193643695"/>
      <w:bookmarkStart w:id="76" w:name="_Toc261206958"/>
      <w:r>
        <w:rPr>
          <w:rFonts w:hint="eastAsia" w:ascii="宋体" w:hAnsi="宋体"/>
          <w:color w:val="auto"/>
          <w:sz w:val="24"/>
        </w:rPr>
        <w:tab/>
      </w:r>
      <w:bookmarkStart w:id="77" w:name="_Toc384934447"/>
      <w:r>
        <w:rPr>
          <w:rFonts w:hint="eastAsia" w:ascii="宋体" w:hAnsi="宋体"/>
          <w:color w:val="auto"/>
          <w:sz w:val="24"/>
        </w:rPr>
        <w:t>投标内容填写说明</w:t>
      </w:r>
      <w:bookmarkEnd w:id="73"/>
      <w:bookmarkEnd w:id="74"/>
      <w:bookmarkEnd w:id="75"/>
      <w:bookmarkEnd w:id="76"/>
      <w:bookmarkEnd w:id="77"/>
    </w:p>
    <w:p>
      <w:pPr>
        <w:numPr>
          <w:ilvl w:val="1"/>
          <w:numId w:val="26"/>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投标人必须按招标文件提供的格式制作投标文件（表格可以按同样格式扩展）。投标文件按A4幅面统一格式填写，装订成册。</w:t>
      </w:r>
      <w:r>
        <w:rPr>
          <w:rFonts w:hint="eastAsia" w:ascii="宋体" w:hAnsi="宋体"/>
          <w:b/>
          <w:color w:val="auto"/>
          <w:szCs w:val="21"/>
        </w:rPr>
        <w:t>投标文件不允许活页夹装订。</w:t>
      </w:r>
    </w:p>
    <w:p>
      <w:pPr>
        <w:pStyle w:val="4"/>
        <w:numPr>
          <w:ilvl w:val="0"/>
          <w:numId w:val="6"/>
        </w:numPr>
        <w:adjustRightInd/>
        <w:spacing w:beforeLines="100" w:after="0" w:line="360" w:lineRule="exact"/>
        <w:textAlignment w:val="auto"/>
        <w:rPr>
          <w:rFonts w:ascii="宋体" w:hAnsi="宋体"/>
          <w:color w:val="auto"/>
          <w:sz w:val="24"/>
        </w:rPr>
      </w:pPr>
      <w:bookmarkStart w:id="78" w:name="_Toc134155419"/>
      <w:bookmarkStart w:id="79" w:name="_Toc103569374"/>
      <w:bookmarkStart w:id="80" w:name="_Toc261206959"/>
      <w:bookmarkStart w:id="81" w:name="_Toc193643696"/>
      <w:r>
        <w:rPr>
          <w:rFonts w:hint="eastAsia" w:ascii="宋体" w:hAnsi="宋体"/>
          <w:color w:val="auto"/>
          <w:sz w:val="24"/>
        </w:rPr>
        <w:tab/>
      </w:r>
      <w:bookmarkStart w:id="82" w:name="_Toc384934448"/>
      <w:r>
        <w:rPr>
          <w:rFonts w:hint="eastAsia" w:ascii="宋体" w:hAnsi="宋体"/>
          <w:color w:val="auto"/>
          <w:sz w:val="24"/>
        </w:rPr>
        <w:t>投标报价</w:t>
      </w:r>
      <w:bookmarkEnd w:id="78"/>
      <w:bookmarkEnd w:id="79"/>
      <w:bookmarkEnd w:id="80"/>
      <w:bookmarkEnd w:id="81"/>
      <w:bookmarkEnd w:id="82"/>
    </w:p>
    <w:p>
      <w:pPr>
        <w:numPr>
          <w:ilvl w:val="1"/>
          <w:numId w:val="27"/>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所有投标均以人民币报价</w:t>
      </w:r>
      <w:r>
        <w:rPr>
          <w:rFonts w:hint="eastAsia" w:ascii="宋体" w:hAnsi="宋体"/>
          <w:bCs/>
          <w:color w:val="auto"/>
          <w:szCs w:val="21"/>
        </w:rPr>
        <w:t>。</w:t>
      </w:r>
    </w:p>
    <w:p>
      <w:pPr>
        <w:numPr>
          <w:ilvl w:val="1"/>
          <w:numId w:val="27"/>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投标人应以招标内容为基础提出一套由法定代表人或授权代表签署的完整的报价。投标人要按投标货物数量、价格表（统一格式）的内容填写货物单价、总价及其它事项，由法定代表人或授权代表签署并加盖单位公章。</w:t>
      </w:r>
    </w:p>
    <w:p>
      <w:pPr>
        <w:numPr>
          <w:ilvl w:val="1"/>
          <w:numId w:val="27"/>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对于非标准货物的投标，还应填报报价明细表（报价明细表格式由投标人自行设计）。</w:t>
      </w:r>
    </w:p>
    <w:p>
      <w:pPr>
        <w:numPr>
          <w:ilvl w:val="1"/>
          <w:numId w:val="27"/>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如遇本须知第12.4.(6)条情况，引起价格变动时，应加以详细说明。除此以外，招标人不接受任何选择报价，对每一种</w:t>
      </w:r>
      <w:r>
        <w:rPr>
          <w:rFonts w:hint="eastAsia" w:ascii="宋体" w:hAnsi="宋体" w:cs="宋体"/>
          <w:color w:val="auto"/>
          <w:szCs w:val="21"/>
        </w:rPr>
        <w:t>规格货物</w:t>
      </w:r>
      <w:r>
        <w:rPr>
          <w:rFonts w:hint="eastAsia" w:ascii="宋体" w:hAnsi="宋体"/>
          <w:color w:val="auto"/>
          <w:szCs w:val="21"/>
        </w:rPr>
        <w:t>只允许有一个报价。</w:t>
      </w:r>
    </w:p>
    <w:p>
      <w:pPr>
        <w:numPr>
          <w:ilvl w:val="1"/>
          <w:numId w:val="27"/>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投标价格表填写时应注意下列要求(报价含下列内容):</w:t>
      </w:r>
    </w:p>
    <w:p>
      <w:pPr>
        <w:snapToGrid w:val="0"/>
        <w:spacing w:beforeLines="50" w:line="280" w:lineRule="exact"/>
        <w:ind w:firstLine="420" w:firstLineChars="200"/>
        <w:rPr>
          <w:rFonts w:ascii="宋体" w:hAnsi="宋体"/>
          <w:color w:val="auto"/>
          <w:szCs w:val="21"/>
        </w:rPr>
      </w:pPr>
      <w:r>
        <w:rPr>
          <w:rFonts w:hint="eastAsia" w:ascii="宋体" w:hAnsi="宋体"/>
          <w:color w:val="auto"/>
          <w:szCs w:val="21"/>
        </w:rPr>
        <w:t>（1）技术规格中特别要求的配合安装调试的费用、培训及其他附带服务的费用。</w:t>
      </w:r>
    </w:p>
    <w:p>
      <w:pPr>
        <w:snapToGrid w:val="0"/>
        <w:spacing w:beforeLines="50" w:line="320" w:lineRule="exact"/>
        <w:ind w:firstLine="420" w:firstLineChars="200"/>
        <w:rPr>
          <w:rFonts w:ascii="宋体" w:hAnsi="宋体"/>
          <w:color w:val="auto"/>
          <w:szCs w:val="21"/>
        </w:rPr>
      </w:pPr>
      <w:r>
        <w:rPr>
          <w:rFonts w:hint="eastAsia" w:ascii="宋体" w:hAnsi="宋体"/>
          <w:color w:val="auto"/>
          <w:szCs w:val="21"/>
        </w:rPr>
        <w:t>（2）报价应包括制造和组装该货物所使用的零部件、原材料及货物本身已支付和将要支付的各类税费（其各类税费可不分别填写，计入交货价内即可）。</w:t>
      </w:r>
    </w:p>
    <w:p>
      <w:pPr>
        <w:numPr>
          <w:ilvl w:val="1"/>
          <w:numId w:val="27"/>
        </w:numPr>
        <w:spacing w:beforeLines="50" w:line="320" w:lineRule="exact"/>
        <w:rPr>
          <w:rFonts w:ascii="宋体" w:hAnsi="宋体"/>
          <w:bCs/>
          <w:color w:val="auto"/>
          <w:szCs w:val="21"/>
        </w:rPr>
      </w:pPr>
      <w:r>
        <w:rPr>
          <w:rFonts w:hint="eastAsia" w:ascii="宋体" w:hAnsi="宋体"/>
          <w:bCs/>
          <w:color w:val="auto"/>
          <w:szCs w:val="21"/>
        </w:rPr>
        <w:t>投标报价含货物到交货地点的运输费、装卸费、运杂费、保险费、安装费等费用。</w:t>
      </w:r>
    </w:p>
    <w:p>
      <w:pPr>
        <w:pStyle w:val="4"/>
        <w:numPr>
          <w:ilvl w:val="0"/>
          <w:numId w:val="6"/>
        </w:numPr>
        <w:adjustRightInd/>
        <w:spacing w:beforeLines="100" w:after="0" w:line="360" w:lineRule="exact"/>
        <w:textAlignment w:val="auto"/>
        <w:rPr>
          <w:rFonts w:ascii="宋体" w:hAnsi="宋体"/>
          <w:color w:val="auto"/>
          <w:sz w:val="24"/>
        </w:rPr>
      </w:pPr>
      <w:bookmarkStart w:id="83" w:name="_Toc193643697"/>
      <w:bookmarkStart w:id="84" w:name="_Toc261206960"/>
      <w:r>
        <w:rPr>
          <w:rFonts w:hint="eastAsia" w:ascii="宋体" w:hAnsi="宋体"/>
          <w:color w:val="auto"/>
          <w:sz w:val="24"/>
        </w:rPr>
        <w:tab/>
      </w:r>
      <w:bookmarkStart w:id="85" w:name="_Toc384934449"/>
      <w:r>
        <w:rPr>
          <w:rFonts w:hint="eastAsia" w:ascii="宋体" w:hAnsi="宋体"/>
          <w:color w:val="auto"/>
          <w:sz w:val="24"/>
        </w:rPr>
        <w:t>商务响应文件</w:t>
      </w:r>
      <w:bookmarkEnd w:id="83"/>
      <w:r>
        <w:rPr>
          <w:rFonts w:hint="eastAsia" w:ascii="宋体" w:hAnsi="宋体"/>
          <w:color w:val="auto"/>
          <w:sz w:val="24"/>
        </w:rPr>
        <w:t>及技术响应文件</w:t>
      </w:r>
      <w:bookmarkEnd w:id="84"/>
      <w:bookmarkEnd w:id="85"/>
    </w:p>
    <w:p>
      <w:pPr>
        <w:numPr>
          <w:ilvl w:val="1"/>
          <w:numId w:val="28"/>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商务响应文件</w:t>
      </w:r>
    </w:p>
    <w:p>
      <w:pPr>
        <w:numPr>
          <w:ilvl w:val="0"/>
          <w:numId w:val="29"/>
        </w:numPr>
        <w:snapToGrid w:val="0"/>
        <w:spacing w:beforeLines="50" w:line="320" w:lineRule="exact"/>
        <w:ind w:left="623" w:hanging="510"/>
        <w:rPr>
          <w:rFonts w:ascii="宋体" w:hAnsi="宋体"/>
          <w:color w:val="auto"/>
          <w:szCs w:val="21"/>
        </w:rPr>
      </w:pPr>
      <w:r>
        <w:rPr>
          <w:rFonts w:hint="eastAsia" w:ascii="宋体" w:hAnsi="宋体"/>
          <w:color w:val="auto"/>
          <w:szCs w:val="21"/>
        </w:rPr>
        <w:t>投标人对投标范围、交货期、付款方式、服务要求及合同条款等的响应情况应在商务响应文件中一一对应说明，如有偏离应明确提出。</w:t>
      </w:r>
    </w:p>
    <w:p>
      <w:pPr>
        <w:numPr>
          <w:ilvl w:val="0"/>
          <w:numId w:val="29"/>
        </w:numPr>
        <w:snapToGrid w:val="0"/>
        <w:spacing w:beforeLines="50" w:line="280" w:lineRule="exact"/>
        <w:rPr>
          <w:rFonts w:ascii="宋体" w:hAnsi="宋体"/>
          <w:color w:val="auto"/>
          <w:szCs w:val="21"/>
        </w:rPr>
      </w:pPr>
      <w:r>
        <w:rPr>
          <w:rFonts w:hint="eastAsia" w:ascii="宋体" w:hAnsi="宋体"/>
          <w:color w:val="auto"/>
          <w:szCs w:val="21"/>
        </w:rPr>
        <w:t>投标人必须提供12条规定的带“*”号的条款内容，否则，其投标可能被拒绝。</w:t>
      </w:r>
    </w:p>
    <w:p>
      <w:pPr>
        <w:numPr>
          <w:ilvl w:val="1"/>
          <w:numId w:val="28"/>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技术响应文件</w:t>
      </w:r>
    </w:p>
    <w:p>
      <w:pPr>
        <w:numPr>
          <w:ilvl w:val="0"/>
          <w:numId w:val="30"/>
        </w:numPr>
        <w:snapToGrid w:val="0"/>
        <w:spacing w:beforeLines="50" w:line="320" w:lineRule="exact"/>
        <w:rPr>
          <w:rFonts w:ascii="宋体" w:hAnsi="宋体"/>
          <w:color w:val="auto"/>
          <w:szCs w:val="21"/>
        </w:rPr>
      </w:pPr>
      <w:r>
        <w:rPr>
          <w:rFonts w:hint="eastAsia" w:ascii="宋体" w:hAnsi="宋体"/>
          <w:color w:val="auto"/>
          <w:szCs w:val="21"/>
        </w:rPr>
        <w:t>技术响应文件可以是文字资料、图纸和数据，包括货物主要技术性能的详细描述资料；</w:t>
      </w:r>
    </w:p>
    <w:p>
      <w:pPr>
        <w:numPr>
          <w:ilvl w:val="0"/>
          <w:numId w:val="30"/>
        </w:numPr>
        <w:snapToGrid w:val="0"/>
        <w:spacing w:beforeLines="50" w:line="280" w:lineRule="exact"/>
        <w:rPr>
          <w:rFonts w:ascii="宋体" w:hAnsi="宋体"/>
          <w:color w:val="auto"/>
          <w:szCs w:val="21"/>
        </w:rPr>
      </w:pPr>
      <w:r>
        <w:rPr>
          <w:rFonts w:hint="eastAsia" w:ascii="宋体" w:hAnsi="宋体"/>
          <w:color w:val="auto"/>
          <w:szCs w:val="21"/>
        </w:rPr>
        <w:t>投标人必须提供12条规定的带“*”号的条款内容，否则，其投标可能被拒绝。</w:t>
      </w:r>
    </w:p>
    <w:p>
      <w:pPr>
        <w:pStyle w:val="4"/>
        <w:numPr>
          <w:ilvl w:val="0"/>
          <w:numId w:val="6"/>
        </w:numPr>
        <w:adjustRightInd/>
        <w:spacing w:beforeLines="100" w:after="0" w:line="360" w:lineRule="exact"/>
        <w:textAlignment w:val="auto"/>
        <w:rPr>
          <w:rFonts w:ascii="宋体" w:hAnsi="宋体"/>
          <w:color w:val="auto"/>
          <w:sz w:val="24"/>
        </w:rPr>
      </w:pPr>
      <w:bookmarkStart w:id="86" w:name="_Toc103569375"/>
      <w:bookmarkStart w:id="87" w:name="_Toc134155420"/>
      <w:bookmarkStart w:id="88" w:name="_Toc193643698"/>
      <w:bookmarkStart w:id="89" w:name="_Toc261206961"/>
      <w:r>
        <w:rPr>
          <w:rFonts w:hint="eastAsia" w:ascii="宋体" w:hAnsi="宋体"/>
          <w:color w:val="auto"/>
          <w:sz w:val="24"/>
        </w:rPr>
        <w:tab/>
      </w:r>
      <w:bookmarkStart w:id="90" w:name="_Toc384934450"/>
      <w:r>
        <w:rPr>
          <w:rFonts w:hint="eastAsia" w:ascii="宋体" w:hAnsi="宋体"/>
          <w:color w:val="auto"/>
          <w:sz w:val="24"/>
        </w:rPr>
        <w:t>投标保证金</w:t>
      </w:r>
      <w:bookmarkEnd w:id="86"/>
      <w:bookmarkEnd w:id="87"/>
      <w:bookmarkEnd w:id="88"/>
      <w:bookmarkEnd w:id="89"/>
      <w:bookmarkEnd w:id="90"/>
    </w:p>
    <w:p>
      <w:pPr>
        <w:pStyle w:val="18"/>
        <w:adjustRightInd w:val="0"/>
        <w:snapToGrid w:val="0"/>
        <w:spacing w:beforeLines="20" w:afterLines="20" w:line="320" w:lineRule="exact"/>
        <w:ind w:left="680"/>
        <w:rPr>
          <w:rFonts w:ascii="宋体" w:hAnsi="宋体"/>
          <w:bCs/>
          <w:color w:val="auto"/>
          <w:sz w:val="21"/>
          <w:szCs w:val="21"/>
        </w:rPr>
      </w:pPr>
      <w:r>
        <w:rPr>
          <w:rFonts w:hint="eastAsia" w:ascii="宋体" w:hAnsi="宋体"/>
          <w:bCs/>
          <w:color w:val="auto"/>
          <w:sz w:val="21"/>
          <w:szCs w:val="21"/>
        </w:rPr>
        <w:t>投标保证金为投标文件的组成部分之一。投标保证金用于保护本次招标免受投标人的行为而引起的风险。</w:t>
      </w:r>
    </w:p>
    <w:p>
      <w:pPr>
        <w:numPr>
          <w:ilvl w:val="1"/>
          <w:numId w:val="31"/>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投标人应向招标人交纳投标保证金</w:t>
      </w:r>
      <w:r>
        <w:rPr>
          <w:rFonts w:hint="eastAsia" w:ascii="宋体" w:hAnsi="宋体"/>
          <w:bCs/>
          <w:color w:val="auto"/>
        </w:rPr>
        <w:t>人民币5000元</w:t>
      </w:r>
      <w:r>
        <w:rPr>
          <w:rFonts w:hint="eastAsia" w:ascii="宋体" w:hAnsi="宋体"/>
          <w:color w:val="auto"/>
          <w:szCs w:val="21"/>
        </w:rPr>
        <w:t>。</w:t>
      </w:r>
    </w:p>
    <w:p>
      <w:pPr>
        <w:numPr>
          <w:ilvl w:val="1"/>
          <w:numId w:val="31"/>
        </w:numPr>
        <w:spacing w:beforeLines="50" w:line="320" w:lineRule="exact"/>
        <w:rPr>
          <w:rFonts w:ascii="宋体" w:hAnsi="宋体"/>
          <w:color w:val="auto"/>
          <w:szCs w:val="21"/>
        </w:rPr>
      </w:pPr>
      <w:r>
        <w:rPr>
          <w:rFonts w:hint="eastAsia" w:ascii="宋体" w:hAnsi="宋体"/>
          <w:color w:val="auto"/>
          <w:szCs w:val="21"/>
        </w:rPr>
        <w:t>投标保证金交纳方式：投标保证金必须在2018年11月16 日上午9:00之前交至湖南工程学院财务处，逾期或未交投标保证金的投标将被拒绝接受。</w:t>
      </w:r>
      <w:r>
        <w:rPr>
          <w:rFonts w:hint="eastAsia" w:ascii="宋体" w:hAnsi="宋体"/>
          <w:color w:val="auto"/>
        </w:rPr>
        <w:t xml:space="preserve">     </w:t>
      </w:r>
    </w:p>
    <w:p>
      <w:pPr>
        <w:numPr>
          <w:ilvl w:val="1"/>
          <w:numId w:val="31"/>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在投标截止时间前未提交足额投标保证金的投标，将被视为投标无效。</w:t>
      </w:r>
    </w:p>
    <w:p>
      <w:pPr>
        <w:numPr>
          <w:ilvl w:val="1"/>
          <w:numId w:val="31"/>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中标人的投标保证金作为履约保证金继续留存，货物验收完工后5个工作日内无息退还。</w:t>
      </w:r>
    </w:p>
    <w:p>
      <w:pPr>
        <w:numPr>
          <w:ilvl w:val="1"/>
          <w:numId w:val="31"/>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未中标的投标人的投标保证金将在评标结束后10个工作日内无息退还。</w:t>
      </w:r>
    </w:p>
    <w:p>
      <w:pPr>
        <w:numPr>
          <w:ilvl w:val="1"/>
          <w:numId w:val="31"/>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发生下列情况之一，保证金将不予退还。</w:t>
      </w:r>
    </w:p>
    <w:p>
      <w:pPr>
        <w:numPr>
          <w:ilvl w:val="0"/>
          <w:numId w:val="32"/>
        </w:numPr>
        <w:snapToGrid w:val="0"/>
        <w:spacing w:beforeLines="50" w:line="280" w:lineRule="exact"/>
        <w:rPr>
          <w:rFonts w:ascii="宋体" w:hAnsi="宋体"/>
          <w:color w:val="auto"/>
          <w:szCs w:val="21"/>
        </w:rPr>
      </w:pPr>
      <w:r>
        <w:rPr>
          <w:rFonts w:hint="eastAsia" w:ascii="宋体" w:hAnsi="宋体"/>
          <w:color w:val="auto"/>
          <w:szCs w:val="21"/>
        </w:rPr>
        <w:t xml:space="preserve">开标后在投标有效期间，投标人撤回其投标文件； </w:t>
      </w:r>
    </w:p>
    <w:p>
      <w:pPr>
        <w:numPr>
          <w:ilvl w:val="0"/>
          <w:numId w:val="32"/>
        </w:numPr>
        <w:snapToGrid w:val="0"/>
        <w:spacing w:beforeLines="50" w:line="320" w:lineRule="exact"/>
        <w:ind w:left="623" w:hanging="510"/>
        <w:rPr>
          <w:rFonts w:ascii="宋体" w:hAnsi="宋体"/>
          <w:color w:val="auto"/>
          <w:szCs w:val="21"/>
        </w:rPr>
      </w:pPr>
      <w:r>
        <w:rPr>
          <w:rFonts w:hint="eastAsia" w:ascii="宋体" w:hAnsi="宋体"/>
          <w:color w:val="auto"/>
        </w:rPr>
        <w:t>中标人若不能按时签订合同或履行合同，招标人有权终止合同的签订或履行，保证金不予退还，收归招标人所有。</w:t>
      </w:r>
    </w:p>
    <w:p>
      <w:pPr>
        <w:pStyle w:val="4"/>
        <w:numPr>
          <w:ilvl w:val="0"/>
          <w:numId w:val="6"/>
        </w:numPr>
        <w:adjustRightInd/>
        <w:spacing w:beforeLines="100" w:after="0" w:line="360" w:lineRule="exact"/>
        <w:textAlignment w:val="auto"/>
        <w:rPr>
          <w:rFonts w:ascii="宋体" w:hAnsi="宋体"/>
          <w:color w:val="auto"/>
          <w:sz w:val="24"/>
        </w:rPr>
      </w:pPr>
      <w:bookmarkStart w:id="91" w:name="_Toc261206962"/>
      <w:bookmarkStart w:id="92" w:name="_Toc103569376"/>
      <w:bookmarkStart w:id="93" w:name="_Toc134155421"/>
      <w:bookmarkStart w:id="94" w:name="_Toc193643699"/>
      <w:r>
        <w:rPr>
          <w:rFonts w:hint="eastAsia" w:ascii="宋体" w:hAnsi="宋体"/>
          <w:color w:val="auto"/>
          <w:sz w:val="24"/>
        </w:rPr>
        <w:tab/>
      </w:r>
      <w:bookmarkStart w:id="95" w:name="_Toc384934451"/>
      <w:r>
        <w:rPr>
          <w:rFonts w:hint="eastAsia" w:ascii="宋体" w:hAnsi="宋体"/>
          <w:color w:val="auto"/>
          <w:sz w:val="24"/>
        </w:rPr>
        <w:t>投标文件的有效期</w:t>
      </w:r>
      <w:bookmarkEnd w:id="91"/>
      <w:bookmarkEnd w:id="92"/>
      <w:bookmarkEnd w:id="93"/>
      <w:bookmarkEnd w:id="94"/>
      <w:bookmarkEnd w:id="95"/>
    </w:p>
    <w:p>
      <w:pPr>
        <w:numPr>
          <w:ilvl w:val="1"/>
          <w:numId w:val="33"/>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自开标日起60天内，投标文件应保持有效。有效期短于这个规定期限的投标将被拒绝。</w:t>
      </w:r>
    </w:p>
    <w:p>
      <w:pPr>
        <w:numPr>
          <w:ilvl w:val="1"/>
          <w:numId w:val="33"/>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在特殊情况下，招标人可与投标人协商延长投标文件的有效期。这种要求和答复都应以信函、传真、电报的形式进行。投标人可以拒绝接受延期要求而不致被没收保证金，同意延长有效期的投标人不能修改投标文件。</w:t>
      </w:r>
    </w:p>
    <w:p>
      <w:pPr>
        <w:numPr>
          <w:ilvl w:val="1"/>
          <w:numId w:val="33"/>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中标人的投标文件有效期截止于完成本招标文件规定的全部项目内容，并通过验收及质保期结束。</w:t>
      </w:r>
    </w:p>
    <w:p>
      <w:pPr>
        <w:pStyle w:val="4"/>
        <w:numPr>
          <w:ilvl w:val="0"/>
          <w:numId w:val="6"/>
        </w:numPr>
        <w:adjustRightInd/>
        <w:spacing w:beforeLines="100" w:after="0" w:line="360" w:lineRule="exact"/>
        <w:textAlignment w:val="auto"/>
        <w:rPr>
          <w:rFonts w:ascii="宋体" w:hAnsi="宋体"/>
          <w:color w:val="auto"/>
          <w:sz w:val="24"/>
        </w:rPr>
      </w:pPr>
      <w:bookmarkStart w:id="96" w:name="_Toc103569377"/>
      <w:bookmarkStart w:id="97" w:name="_Toc134155422"/>
      <w:bookmarkStart w:id="98" w:name="_Toc193643700"/>
      <w:bookmarkStart w:id="99" w:name="_Toc261206963"/>
      <w:r>
        <w:rPr>
          <w:rFonts w:hint="eastAsia" w:ascii="宋体" w:hAnsi="宋体"/>
          <w:color w:val="auto"/>
          <w:sz w:val="24"/>
        </w:rPr>
        <w:tab/>
      </w:r>
      <w:bookmarkStart w:id="100" w:name="_Toc384934452"/>
      <w:r>
        <w:rPr>
          <w:rFonts w:hint="eastAsia" w:ascii="宋体" w:hAnsi="宋体"/>
          <w:color w:val="auto"/>
          <w:sz w:val="24"/>
        </w:rPr>
        <w:t>投标文件的签署及规定</w:t>
      </w:r>
      <w:bookmarkEnd w:id="96"/>
      <w:bookmarkEnd w:id="97"/>
      <w:bookmarkEnd w:id="98"/>
      <w:bookmarkEnd w:id="99"/>
      <w:bookmarkEnd w:id="100"/>
    </w:p>
    <w:p>
      <w:pPr>
        <w:pStyle w:val="18"/>
        <w:adjustRightInd w:val="0"/>
        <w:snapToGrid w:val="0"/>
        <w:spacing w:line="360" w:lineRule="atLeast"/>
        <w:ind w:left="680"/>
        <w:rPr>
          <w:rFonts w:ascii="宋体" w:hAnsi="宋体"/>
          <w:bCs/>
          <w:color w:val="auto"/>
          <w:sz w:val="21"/>
          <w:szCs w:val="21"/>
        </w:rPr>
      </w:pPr>
      <w:r>
        <w:rPr>
          <w:rFonts w:hint="eastAsia" w:ascii="宋体" w:hAnsi="宋体"/>
          <w:bCs/>
          <w:color w:val="auto"/>
          <w:sz w:val="21"/>
          <w:szCs w:val="21"/>
        </w:rPr>
        <w:t>组成投标文件的各项资料（本须知第12条中所规定）均应遵守本条。</w:t>
      </w:r>
    </w:p>
    <w:p>
      <w:pPr>
        <w:numPr>
          <w:ilvl w:val="1"/>
          <w:numId w:val="34"/>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投标人应填写全称，同时按招标文件要求加盖印章，否则招标人有权拒绝其投标。</w:t>
      </w:r>
    </w:p>
    <w:p>
      <w:pPr>
        <w:numPr>
          <w:ilvl w:val="1"/>
          <w:numId w:val="34"/>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投标文件必须由法定代表人或授权代表签署。</w:t>
      </w:r>
    </w:p>
    <w:p>
      <w:pPr>
        <w:numPr>
          <w:ilvl w:val="1"/>
          <w:numId w:val="34"/>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投标文件一式5份。其中，正本1份，副本4份，如果正本与副本不符，以正本为准。</w:t>
      </w:r>
    </w:p>
    <w:p>
      <w:pPr>
        <w:numPr>
          <w:ilvl w:val="1"/>
          <w:numId w:val="34"/>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投标文件的正本必须用不退色的墨水填写或打印，注明“正本”字样。副本可以用复印件。</w:t>
      </w:r>
    </w:p>
    <w:p>
      <w:pPr>
        <w:numPr>
          <w:ilvl w:val="1"/>
          <w:numId w:val="34"/>
        </w:numPr>
        <w:spacing w:beforeLines="50" w:line="320" w:lineRule="exact"/>
        <w:rPr>
          <w:rFonts w:ascii="宋体" w:hAnsi="宋体"/>
          <w:color w:val="auto"/>
          <w:szCs w:val="21"/>
        </w:rPr>
      </w:pPr>
      <w:r>
        <w:rPr>
          <w:rFonts w:hint="eastAsia" w:ascii="宋体" w:hAnsi="宋体"/>
          <w:color w:val="auto"/>
          <w:szCs w:val="21"/>
        </w:rPr>
        <w:t>投标文件不得涂改和增删，如有修改错漏处，必须由同一签署人签字并盖章。</w:t>
      </w:r>
    </w:p>
    <w:p>
      <w:pPr>
        <w:numPr>
          <w:ilvl w:val="1"/>
          <w:numId w:val="34"/>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投标文件因字迹潦草或表达不清所引起的后果由投标人负责。</w:t>
      </w:r>
    </w:p>
    <w:p>
      <w:pPr>
        <w:numPr>
          <w:ilvl w:val="1"/>
          <w:numId w:val="34"/>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电报、电话、传真形式的投标概不接受。</w:t>
      </w:r>
    </w:p>
    <w:p>
      <w:pPr>
        <w:pStyle w:val="3"/>
        <w:numPr>
          <w:ilvl w:val="0"/>
          <w:numId w:val="5"/>
        </w:numPr>
        <w:adjustRightInd/>
        <w:spacing w:beforeLines="150" w:afterLines="50" w:line="360" w:lineRule="exact"/>
        <w:jc w:val="center"/>
        <w:textAlignment w:val="auto"/>
        <w:rPr>
          <w:rFonts w:ascii="宋体" w:hAnsi="宋体" w:eastAsia="宋体"/>
          <w:color w:val="auto"/>
          <w:sz w:val="30"/>
          <w:szCs w:val="30"/>
        </w:rPr>
      </w:pPr>
      <w:bookmarkStart w:id="101" w:name="_Toc193643701"/>
      <w:bookmarkStart w:id="102" w:name="_Toc103569378"/>
      <w:bookmarkStart w:id="103" w:name="_Toc261206964"/>
      <w:bookmarkStart w:id="104" w:name="_Toc384934453"/>
      <w:bookmarkStart w:id="105" w:name="_Toc134155423"/>
      <w:r>
        <w:rPr>
          <w:rFonts w:hint="eastAsia" w:ascii="宋体" w:hAnsi="宋体" w:eastAsia="宋体"/>
          <w:color w:val="auto"/>
          <w:sz w:val="30"/>
          <w:szCs w:val="30"/>
        </w:rPr>
        <w:t>投标文件的递交</w:t>
      </w:r>
      <w:bookmarkEnd w:id="101"/>
      <w:bookmarkEnd w:id="102"/>
      <w:bookmarkEnd w:id="103"/>
      <w:bookmarkEnd w:id="104"/>
      <w:bookmarkEnd w:id="105"/>
    </w:p>
    <w:p>
      <w:pPr>
        <w:pStyle w:val="4"/>
        <w:numPr>
          <w:ilvl w:val="0"/>
          <w:numId w:val="6"/>
        </w:numPr>
        <w:adjustRightInd/>
        <w:spacing w:beforeLines="100" w:after="0" w:line="360" w:lineRule="exact"/>
        <w:textAlignment w:val="auto"/>
        <w:rPr>
          <w:rFonts w:ascii="宋体" w:hAnsi="宋体"/>
          <w:color w:val="auto"/>
          <w:sz w:val="24"/>
        </w:rPr>
      </w:pPr>
      <w:bookmarkStart w:id="106" w:name="_Toc134155424"/>
      <w:bookmarkStart w:id="107" w:name="_Toc103569379"/>
      <w:bookmarkStart w:id="108" w:name="_Toc261206965"/>
      <w:bookmarkStart w:id="109" w:name="_Toc384934454"/>
      <w:bookmarkStart w:id="110" w:name="_Toc193643702"/>
      <w:r>
        <w:rPr>
          <w:rFonts w:hint="eastAsia" w:ascii="宋体" w:hAnsi="宋体"/>
          <w:color w:val="auto"/>
          <w:sz w:val="24"/>
        </w:rPr>
        <w:t>投标文件的密封及标记</w:t>
      </w:r>
      <w:bookmarkEnd w:id="106"/>
      <w:bookmarkEnd w:id="107"/>
      <w:bookmarkEnd w:id="108"/>
      <w:bookmarkEnd w:id="109"/>
      <w:bookmarkEnd w:id="110"/>
    </w:p>
    <w:p>
      <w:pPr>
        <w:numPr>
          <w:ilvl w:val="1"/>
          <w:numId w:val="35"/>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投标人应将投标文件分别用密封袋密封，注明招标编号、项目名称及“正本”、“副本”字样；信封或密封袋所有接口处用胶水贴密封条并在封口处加盖单位公章（若封口处无公章则视为无效投标），封口条上写明“于2018年11月16日上午9：00之前不准启封”字样并盖单位公章。</w:t>
      </w:r>
    </w:p>
    <w:p>
      <w:pPr>
        <w:numPr>
          <w:ilvl w:val="1"/>
          <w:numId w:val="35"/>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为方便开标唱标，投标人应将开标一览表单独密封并标明，然后装入正本投标文件密封袋中。</w:t>
      </w:r>
    </w:p>
    <w:p>
      <w:pPr>
        <w:numPr>
          <w:ilvl w:val="1"/>
          <w:numId w:val="35"/>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如果未按上述规定密封和标记，招标人对投标文件的提前拆封及误投不负任何责任。</w:t>
      </w:r>
    </w:p>
    <w:p>
      <w:pPr>
        <w:pStyle w:val="4"/>
        <w:numPr>
          <w:ilvl w:val="0"/>
          <w:numId w:val="6"/>
        </w:numPr>
        <w:adjustRightInd/>
        <w:spacing w:beforeLines="100" w:after="0" w:line="360" w:lineRule="exact"/>
        <w:textAlignment w:val="auto"/>
        <w:rPr>
          <w:rFonts w:ascii="宋体" w:hAnsi="宋体"/>
          <w:color w:val="auto"/>
          <w:sz w:val="24"/>
        </w:rPr>
      </w:pPr>
      <w:bookmarkStart w:id="111" w:name="_Toc134155425"/>
      <w:bookmarkStart w:id="112" w:name="_Toc261206966"/>
      <w:bookmarkStart w:id="113" w:name="_Toc193643703"/>
      <w:bookmarkStart w:id="114" w:name="_Toc103569380"/>
      <w:r>
        <w:rPr>
          <w:rFonts w:hint="eastAsia" w:ascii="宋体" w:hAnsi="宋体"/>
          <w:color w:val="auto"/>
          <w:sz w:val="24"/>
        </w:rPr>
        <w:tab/>
      </w:r>
      <w:bookmarkStart w:id="115" w:name="_Toc384934455"/>
      <w:r>
        <w:rPr>
          <w:rFonts w:hint="eastAsia" w:ascii="宋体" w:hAnsi="宋体"/>
          <w:color w:val="auto"/>
          <w:sz w:val="24"/>
        </w:rPr>
        <w:t>投标文件的送达</w:t>
      </w:r>
      <w:bookmarkEnd w:id="111"/>
      <w:bookmarkEnd w:id="112"/>
      <w:bookmarkEnd w:id="113"/>
      <w:bookmarkEnd w:id="114"/>
      <w:bookmarkEnd w:id="115"/>
    </w:p>
    <w:p>
      <w:pPr>
        <w:numPr>
          <w:ilvl w:val="1"/>
          <w:numId w:val="36"/>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所有投标文件都必须在招标文件中规定的投标截止时间之前送达指定的地点。</w:t>
      </w:r>
    </w:p>
    <w:p>
      <w:pPr>
        <w:numPr>
          <w:ilvl w:val="1"/>
          <w:numId w:val="36"/>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如果邮寄过程中造成标书拆封，视为无效投标。</w:t>
      </w:r>
    </w:p>
    <w:p>
      <w:pPr>
        <w:numPr>
          <w:ilvl w:val="1"/>
          <w:numId w:val="36"/>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招标人将拒绝在投标截止时间后送达的投标文件。</w:t>
      </w:r>
    </w:p>
    <w:p>
      <w:pPr>
        <w:pStyle w:val="4"/>
        <w:numPr>
          <w:ilvl w:val="0"/>
          <w:numId w:val="6"/>
        </w:numPr>
        <w:adjustRightInd/>
        <w:spacing w:beforeLines="100" w:after="0" w:line="360" w:lineRule="exact"/>
        <w:textAlignment w:val="auto"/>
        <w:rPr>
          <w:rFonts w:ascii="宋体" w:hAnsi="宋体"/>
          <w:color w:val="auto"/>
          <w:sz w:val="24"/>
        </w:rPr>
      </w:pPr>
      <w:bookmarkStart w:id="116" w:name="_Toc261206967"/>
      <w:bookmarkStart w:id="117" w:name="_Toc103569381"/>
      <w:bookmarkStart w:id="118" w:name="_Toc193643704"/>
      <w:bookmarkStart w:id="119" w:name="_Toc134155426"/>
      <w:r>
        <w:rPr>
          <w:rFonts w:hint="eastAsia" w:ascii="宋体" w:hAnsi="宋体"/>
          <w:color w:val="auto"/>
          <w:sz w:val="24"/>
        </w:rPr>
        <w:tab/>
      </w:r>
      <w:bookmarkStart w:id="120" w:name="_Toc384934456"/>
      <w:r>
        <w:rPr>
          <w:rFonts w:hint="eastAsia" w:ascii="宋体" w:hAnsi="宋体"/>
          <w:color w:val="auto"/>
          <w:sz w:val="24"/>
        </w:rPr>
        <w:t>投标文件的修改和撤回</w:t>
      </w:r>
      <w:bookmarkEnd w:id="116"/>
      <w:bookmarkEnd w:id="117"/>
      <w:bookmarkEnd w:id="118"/>
      <w:bookmarkEnd w:id="119"/>
      <w:bookmarkEnd w:id="120"/>
    </w:p>
    <w:p>
      <w:pPr>
        <w:numPr>
          <w:ilvl w:val="1"/>
          <w:numId w:val="37"/>
        </w:numPr>
        <w:spacing w:beforeLines="50" w:line="320" w:lineRule="exact"/>
        <w:rPr>
          <w:rFonts w:ascii="宋体" w:hAnsi="宋体"/>
          <w:color w:val="auto"/>
          <w:szCs w:val="21"/>
        </w:rPr>
      </w:pPr>
      <w:bookmarkStart w:id="121" w:name="_Toc103569382"/>
      <w:bookmarkStart w:id="122" w:name="_Toc134155427"/>
      <w:r>
        <w:rPr>
          <w:rFonts w:hint="eastAsia" w:ascii="宋体" w:hAnsi="宋体"/>
          <w:color w:val="auto"/>
          <w:szCs w:val="21"/>
        </w:rPr>
        <w:tab/>
      </w:r>
      <w:r>
        <w:rPr>
          <w:rFonts w:hint="eastAsia" w:ascii="宋体" w:hAnsi="宋体"/>
          <w:color w:val="auto"/>
          <w:szCs w:val="21"/>
        </w:rPr>
        <w:t>投标人在递交投标文件后可对其投标文件进行修改或撤回,但须在投标截止时间之前将该修改或撤回的书面通知送达招标人,该通知必须有经正式授权的投标人代表签字、盖章。</w:t>
      </w:r>
    </w:p>
    <w:p>
      <w:pPr>
        <w:numPr>
          <w:ilvl w:val="1"/>
          <w:numId w:val="37"/>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投标截止时间以后不得修改投标文件。</w:t>
      </w:r>
    </w:p>
    <w:p>
      <w:pPr>
        <w:numPr>
          <w:ilvl w:val="1"/>
          <w:numId w:val="37"/>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投标人不得在开标后至投标文件有效期期满前撤销投标文件。否则，招标人将按本须知16.6款的规定对其投标保证金不予退还。</w:t>
      </w:r>
    </w:p>
    <w:p>
      <w:pPr>
        <w:numPr>
          <w:ilvl w:val="1"/>
          <w:numId w:val="37"/>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投标人的有效投标文件根据《中华人民共和国政府采购法》第四十二条规定不予退还。</w:t>
      </w:r>
    </w:p>
    <w:p>
      <w:pPr>
        <w:pStyle w:val="3"/>
        <w:numPr>
          <w:ilvl w:val="0"/>
          <w:numId w:val="5"/>
        </w:numPr>
        <w:adjustRightInd/>
        <w:spacing w:beforeLines="150" w:afterLines="50" w:line="360" w:lineRule="exact"/>
        <w:jc w:val="center"/>
        <w:textAlignment w:val="auto"/>
        <w:rPr>
          <w:rFonts w:ascii="宋体" w:hAnsi="宋体" w:eastAsia="宋体"/>
          <w:color w:val="auto"/>
          <w:sz w:val="30"/>
          <w:szCs w:val="30"/>
        </w:rPr>
      </w:pPr>
      <w:bookmarkStart w:id="123" w:name="_Toc261206969"/>
      <w:bookmarkStart w:id="124" w:name="_Toc384934457"/>
      <w:bookmarkStart w:id="125" w:name="_Toc193643705"/>
      <w:r>
        <w:rPr>
          <w:rFonts w:hint="eastAsia" w:ascii="宋体" w:hAnsi="宋体" w:eastAsia="宋体"/>
          <w:color w:val="auto"/>
          <w:sz w:val="30"/>
          <w:szCs w:val="30"/>
        </w:rPr>
        <w:t>开标及评标</w:t>
      </w:r>
      <w:bookmarkEnd w:id="121"/>
      <w:bookmarkEnd w:id="122"/>
      <w:bookmarkEnd w:id="123"/>
      <w:bookmarkEnd w:id="124"/>
      <w:bookmarkEnd w:id="125"/>
    </w:p>
    <w:p>
      <w:pPr>
        <w:pStyle w:val="4"/>
        <w:numPr>
          <w:ilvl w:val="0"/>
          <w:numId w:val="6"/>
        </w:numPr>
        <w:adjustRightInd/>
        <w:spacing w:beforeLines="100" w:after="0" w:line="360" w:lineRule="exact"/>
        <w:textAlignment w:val="auto"/>
        <w:rPr>
          <w:rFonts w:ascii="宋体" w:hAnsi="宋体"/>
          <w:color w:val="auto"/>
          <w:sz w:val="24"/>
        </w:rPr>
      </w:pPr>
      <w:bookmarkStart w:id="126" w:name="_Toc193643706"/>
      <w:bookmarkStart w:id="127" w:name="_Toc261206970"/>
      <w:bookmarkStart w:id="128" w:name="_Toc134155428"/>
      <w:bookmarkStart w:id="129" w:name="_Toc103569383"/>
      <w:r>
        <w:rPr>
          <w:rFonts w:hint="eastAsia" w:ascii="宋体" w:hAnsi="宋体"/>
          <w:color w:val="auto"/>
          <w:sz w:val="24"/>
        </w:rPr>
        <w:tab/>
      </w:r>
      <w:bookmarkStart w:id="130" w:name="_Toc384934458"/>
      <w:r>
        <w:rPr>
          <w:rFonts w:hint="eastAsia" w:ascii="宋体" w:hAnsi="宋体"/>
          <w:color w:val="auto"/>
          <w:sz w:val="24"/>
        </w:rPr>
        <w:t>开标</w:t>
      </w:r>
      <w:bookmarkEnd w:id="126"/>
      <w:bookmarkEnd w:id="127"/>
      <w:bookmarkEnd w:id="128"/>
      <w:bookmarkEnd w:id="129"/>
      <w:bookmarkEnd w:id="130"/>
    </w:p>
    <w:p>
      <w:pPr>
        <w:numPr>
          <w:ilvl w:val="1"/>
          <w:numId w:val="38"/>
        </w:numPr>
        <w:spacing w:beforeLines="50" w:line="320" w:lineRule="exact"/>
        <w:rPr>
          <w:rFonts w:ascii="宋体" w:hAnsi="宋体"/>
          <w:color w:val="auto"/>
          <w:szCs w:val="21"/>
        </w:rPr>
      </w:pPr>
      <w:bookmarkStart w:id="131" w:name="_Toc103569384"/>
      <w:r>
        <w:rPr>
          <w:rFonts w:hint="eastAsia" w:ascii="宋体" w:hAnsi="宋体"/>
          <w:color w:val="auto"/>
          <w:szCs w:val="21"/>
        </w:rPr>
        <w:tab/>
      </w:r>
      <w:r>
        <w:rPr>
          <w:rFonts w:hint="eastAsia" w:ascii="宋体" w:hAnsi="宋体"/>
          <w:color w:val="auto"/>
          <w:szCs w:val="21"/>
        </w:rPr>
        <w:t>招标人按招标文件规定的时间、地点主持开标。</w:t>
      </w:r>
    </w:p>
    <w:p>
      <w:pPr>
        <w:numPr>
          <w:ilvl w:val="1"/>
          <w:numId w:val="38"/>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开标时由投标人代表和湖南工程学院纪检监察人员对标书密封情况进行检查，确认无误后拆封。</w:t>
      </w:r>
    </w:p>
    <w:p>
      <w:pPr>
        <w:numPr>
          <w:ilvl w:val="1"/>
          <w:numId w:val="38"/>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招标人在开标仪式上，将公布投标人的名称、投标货物名</w:t>
      </w:r>
      <w:r>
        <w:rPr>
          <w:rFonts w:hint="eastAsia" w:ascii="宋体" w:hAnsi="宋体"/>
          <w:color w:val="auto"/>
          <w:szCs w:val="21"/>
        </w:rPr>
        <w:t>称、投标报价、投标保证金是否提交等，唱标内容以“开标一览表”为准。</w:t>
      </w:r>
    </w:p>
    <w:p>
      <w:pPr>
        <w:numPr>
          <w:ilvl w:val="1"/>
          <w:numId w:val="38"/>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开标时，投标文件有下列情形之一的，招标人不予受理：</w:t>
      </w:r>
    </w:p>
    <w:p>
      <w:pPr>
        <w:numPr>
          <w:ilvl w:val="0"/>
          <w:numId w:val="39"/>
        </w:numPr>
        <w:snapToGrid w:val="0"/>
        <w:spacing w:beforeLines="50" w:line="320" w:lineRule="exact"/>
        <w:ind w:hanging="444"/>
        <w:rPr>
          <w:rFonts w:ascii="宋体" w:hAnsi="宋体"/>
          <w:color w:val="auto"/>
          <w:szCs w:val="21"/>
        </w:rPr>
      </w:pPr>
      <w:r>
        <w:rPr>
          <w:rFonts w:hint="eastAsia" w:ascii="宋体" w:hAnsi="宋体"/>
          <w:color w:val="auto"/>
          <w:szCs w:val="21"/>
        </w:rPr>
        <w:t>未交投标保证金或投标保证金金额不足；</w:t>
      </w:r>
    </w:p>
    <w:p>
      <w:pPr>
        <w:numPr>
          <w:ilvl w:val="0"/>
          <w:numId w:val="39"/>
        </w:numPr>
        <w:snapToGrid w:val="0"/>
        <w:spacing w:line="320" w:lineRule="exact"/>
        <w:ind w:left="623" w:hanging="444"/>
        <w:rPr>
          <w:rFonts w:ascii="宋体" w:hAnsi="宋体"/>
          <w:bCs/>
          <w:color w:val="auto"/>
          <w:szCs w:val="21"/>
        </w:rPr>
      </w:pPr>
      <w:r>
        <w:rPr>
          <w:rFonts w:hint="eastAsia" w:ascii="宋体" w:hAnsi="宋体"/>
          <w:color w:val="auto"/>
          <w:szCs w:val="21"/>
        </w:rPr>
        <w:t>投标文件逾期送达的或者未送达指定地点；</w:t>
      </w:r>
    </w:p>
    <w:p>
      <w:pPr>
        <w:numPr>
          <w:ilvl w:val="0"/>
          <w:numId w:val="39"/>
        </w:numPr>
        <w:snapToGrid w:val="0"/>
        <w:spacing w:line="320" w:lineRule="exact"/>
        <w:ind w:left="623" w:hanging="444"/>
        <w:rPr>
          <w:rFonts w:ascii="宋体" w:hAnsi="宋体"/>
          <w:bCs/>
          <w:color w:val="auto"/>
          <w:szCs w:val="21"/>
        </w:rPr>
      </w:pPr>
      <w:r>
        <w:rPr>
          <w:rFonts w:hint="eastAsia" w:ascii="宋体" w:hAnsi="宋体"/>
          <w:color w:val="auto"/>
          <w:szCs w:val="21"/>
        </w:rPr>
        <w:t>投标文件未按照招标文件规定要求密封、签署、盖章的。</w:t>
      </w:r>
    </w:p>
    <w:p>
      <w:pPr>
        <w:pStyle w:val="4"/>
        <w:numPr>
          <w:ilvl w:val="0"/>
          <w:numId w:val="6"/>
        </w:numPr>
        <w:adjustRightInd/>
        <w:spacing w:beforeLines="100" w:after="0" w:line="360" w:lineRule="exact"/>
        <w:textAlignment w:val="auto"/>
        <w:rPr>
          <w:rFonts w:ascii="宋体" w:hAnsi="宋体"/>
          <w:color w:val="auto"/>
          <w:sz w:val="24"/>
        </w:rPr>
      </w:pPr>
      <w:bookmarkStart w:id="132" w:name="_Toc134155429"/>
      <w:bookmarkStart w:id="133" w:name="_Toc384934459"/>
      <w:bookmarkStart w:id="134" w:name="_Toc261206971"/>
      <w:bookmarkStart w:id="135" w:name="_Toc193643707"/>
      <w:r>
        <w:rPr>
          <w:rFonts w:hint="eastAsia" w:ascii="宋体" w:hAnsi="宋体"/>
          <w:color w:val="auto"/>
          <w:sz w:val="24"/>
        </w:rPr>
        <w:t>评标委员会</w:t>
      </w:r>
      <w:bookmarkEnd w:id="131"/>
      <w:bookmarkEnd w:id="132"/>
      <w:bookmarkEnd w:id="133"/>
      <w:bookmarkEnd w:id="134"/>
      <w:bookmarkEnd w:id="135"/>
    </w:p>
    <w:p>
      <w:pPr>
        <w:numPr>
          <w:ilvl w:val="1"/>
          <w:numId w:val="40"/>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招标人将根据招标货物的特点及湖南工程学院招标工作有关文件的要求依法组建评标委员会，其成员由技术、经济等方面的专家和用户代表组成。评标委员会负责对投标文件进行审查、质疑、评估和比较。</w:t>
      </w:r>
    </w:p>
    <w:p>
      <w:pPr>
        <w:numPr>
          <w:ilvl w:val="1"/>
          <w:numId w:val="40"/>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评标委员会的组成属于保密内容。</w:t>
      </w:r>
    </w:p>
    <w:p>
      <w:pPr>
        <w:pStyle w:val="4"/>
        <w:numPr>
          <w:ilvl w:val="0"/>
          <w:numId w:val="6"/>
        </w:numPr>
        <w:adjustRightInd/>
        <w:spacing w:beforeLines="100" w:after="0" w:line="360" w:lineRule="exact"/>
        <w:textAlignment w:val="auto"/>
        <w:rPr>
          <w:rFonts w:ascii="宋体" w:hAnsi="宋体"/>
          <w:color w:val="auto"/>
          <w:sz w:val="24"/>
        </w:rPr>
      </w:pPr>
      <w:bookmarkStart w:id="136" w:name="_Toc261206972"/>
      <w:bookmarkStart w:id="137" w:name="_Toc193643708"/>
      <w:r>
        <w:rPr>
          <w:rFonts w:hint="eastAsia" w:ascii="宋体" w:hAnsi="宋体"/>
          <w:color w:val="auto"/>
          <w:sz w:val="24"/>
        </w:rPr>
        <w:tab/>
      </w:r>
      <w:bookmarkStart w:id="138" w:name="_Toc384934460"/>
      <w:r>
        <w:rPr>
          <w:rFonts w:hint="eastAsia" w:ascii="宋体" w:hAnsi="宋体"/>
          <w:color w:val="auto"/>
          <w:sz w:val="24"/>
        </w:rPr>
        <w:t>评标工作的基本原则</w:t>
      </w:r>
      <w:bookmarkEnd w:id="136"/>
      <w:bookmarkEnd w:id="137"/>
      <w:bookmarkEnd w:id="138"/>
    </w:p>
    <w:p>
      <w:pPr>
        <w:numPr>
          <w:ilvl w:val="1"/>
          <w:numId w:val="41"/>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认真贯彻国家有关法律、法规，维护国家利益。保护采购人的各项合法利益。</w:t>
      </w:r>
    </w:p>
    <w:p>
      <w:pPr>
        <w:numPr>
          <w:ilvl w:val="1"/>
          <w:numId w:val="41"/>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公平、公正地对待所有投标人，对所有投标人的投标评价均采用相同的程序和标准。</w:t>
      </w:r>
    </w:p>
    <w:p>
      <w:pPr>
        <w:numPr>
          <w:ilvl w:val="1"/>
          <w:numId w:val="41"/>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招标文件、投标文件和依规定允许补充的具有法律效力的其他资料均是评标的依据。</w:t>
      </w:r>
    </w:p>
    <w:p>
      <w:pPr>
        <w:numPr>
          <w:ilvl w:val="1"/>
          <w:numId w:val="41"/>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开标后，直到授予中标人合同为止，凡属于对投标文件的审查、澄清、评价和比较的有关资料以及中标候选人的推荐情况、与评标有关的其他任何情况均应严格保密。</w:t>
      </w:r>
    </w:p>
    <w:p>
      <w:pPr>
        <w:numPr>
          <w:ilvl w:val="1"/>
          <w:numId w:val="41"/>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评标委员会成员的评标活动应当独立进行，并应遵循投标文件初审、澄清有关问题、比较与评价、确定中标供应商、编写评标报告的工作程序。</w:t>
      </w:r>
    </w:p>
    <w:p>
      <w:pPr>
        <w:pStyle w:val="3"/>
        <w:numPr>
          <w:ilvl w:val="0"/>
          <w:numId w:val="5"/>
        </w:numPr>
        <w:adjustRightInd/>
        <w:spacing w:beforeLines="150" w:afterLines="50" w:line="360" w:lineRule="exact"/>
        <w:jc w:val="center"/>
        <w:textAlignment w:val="auto"/>
        <w:rPr>
          <w:rFonts w:ascii="宋体" w:hAnsi="宋体" w:eastAsia="宋体"/>
          <w:color w:val="auto"/>
          <w:sz w:val="30"/>
          <w:szCs w:val="30"/>
        </w:rPr>
      </w:pPr>
      <w:bookmarkStart w:id="139" w:name="_Toc261206973"/>
      <w:bookmarkStart w:id="140" w:name="_Toc384934461"/>
      <w:bookmarkStart w:id="141" w:name="_Toc193643709"/>
      <w:r>
        <w:rPr>
          <w:rFonts w:hint="eastAsia" w:ascii="宋体" w:hAnsi="宋体" w:eastAsia="宋体"/>
          <w:color w:val="auto"/>
          <w:sz w:val="30"/>
          <w:szCs w:val="30"/>
        </w:rPr>
        <w:t>评标程序和评标方法</w:t>
      </w:r>
      <w:bookmarkEnd w:id="139"/>
      <w:bookmarkEnd w:id="140"/>
      <w:bookmarkEnd w:id="141"/>
    </w:p>
    <w:p>
      <w:pPr>
        <w:pStyle w:val="4"/>
        <w:numPr>
          <w:ilvl w:val="0"/>
          <w:numId w:val="6"/>
        </w:numPr>
        <w:adjustRightInd/>
        <w:spacing w:beforeLines="100" w:after="0" w:line="360" w:lineRule="exact"/>
        <w:textAlignment w:val="auto"/>
        <w:rPr>
          <w:rFonts w:ascii="宋体" w:hAnsi="宋体"/>
          <w:color w:val="auto"/>
          <w:sz w:val="24"/>
        </w:rPr>
      </w:pPr>
      <w:bookmarkStart w:id="142" w:name="_Toc193643710"/>
      <w:bookmarkStart w:id="143" w:name="_Toc384934462"/>
      <w:bookmarkStart w:id="144" w:name="_Toc261206974"/>
      <w:r>
        <w:rPr>
          <w:rFonts w:hint="eastAsia" w:ascii="宋体" w:hAnsi="宋体"/>
          <w:color w:val="auto"/>
          <w:sz w:val="24"/>
        </w:rPr>
        <w:t>对投标文件的初审</w:t>
      </w:r>
      <w:bookmarkEnd w:id="142"/>
      <w:bookmarkEnd w:id="143"/>
      <w:bookmarkEnd w:id="144"/>
    </w:p>
    <w:p>
      <w:pPr>
        <w:numPr>
          <w:ilvl w:val="1"/>
          <w:numId w:val="42"/>
        </w:numPr>
        <w:spacing w:beforeLines="50" w:line="320" w:lineRule="exact"/>
        <w:rPr>
          <w:rFonts w:ascii="宋体" w:hAnsi="宋体"/>
          <w:color w:val="auto"/>
          <w:szCs w:val="21"/>
        </w:rPr>
      </w:pPr>
      <w:r>
        <w:rPr>
          <w:rFonts w:hint="eastAsia" w:ascii="宋体" w:hAnsi="宋体"/>
          <w:bCs/>
          <w:color w:val="auto"/>
          <w:szCs w:val="21"/>
        </w:rPr>
        <w:tab/>
      </w:r>
      <w:r>
        <w:rPr>
          <w:rFonts w:hint="eastAsia" w:ascii="宋体" w:hAnsi="宋体"/>
          <w:color w:val="auto"/>
          <w:szCs w:val="21"/>
        </w:rPr>
        <w:t>开标后，评标委员会将根据招标文件要求对投标文件进行审查。</w:t>
      </w:r>
    </w:p>
    <w:p>
      <w:pPr>
        <w:numPr>
          <w:ilvl w:val="1"/>
          <w:numId w:val="42"/>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资格性审查</w:t>
      </w:r>
    </w:p>
    <w:p>
      <w:pPr>
        <w:numPr>
          <w:ilvl w:val="0"/>
          <w:numId w:val="43"/>
        </w:numPr>
        <w:snapToGrid w:val="0"/>
        <w:spacing w:beforeLines="50" w:line="280" w:lineRule="exact"/>
        <w:rPr>
          <w:rFonts w:ascii="宋体" w:hAnsi="宋体"/>
          <w:color w:val="auto"/>
          <w:szCs w:val="21"/>
        </w:rPr>
      </w:pPr>
      <w:r>
        <w:rPr>
          <w:rFonts w:hint="eastAsia" w:ascii="宋体" w:hAnsi="宋体"/>
          <w:color w:val="auto"/>
          <w:szCs w:val="21"/>
        </w:rPr>
        <w:t>是否具备招标文件所列的资质条件或符合国家有关法律规定；</w:t>
      </w:r>
    </w:p>
    <w:p>
      <w:pPr>
        <w:numPr>
          <w:ilvl w:val="0"/>
          <w:numId w:val="43"/>
        </w:numPr>
        <w:snapToGrid w:val="0"/>
        <w:spacing w:line="360" w:lineRule="exact"/>
        <w:ind w:left="623" w:hanging="510"/>
        <w:rPr>
          <w:rFonts w:ascii="宋体" w:hAnsi="宋体"/>
          <w:color w:val="auto"/>
          <w:szCs w:val="21"/>
        </w:rPr>
      </w:pPr>
      <w:r>
        <w:rPr>
          <w:rFonts w:hint="eastAsia" w:ascii="宋体" w:hAnsi="宋体"/>
          <w:color w:val="auto"/>
          <w:szCs w:val="21"/>
        </w:rPr>
        <w:t>是否提交招标文件要求的资格证明文件；</w:t>
      </w:r>
    </w:p>
    <w:p>
      <w:pPr>
        <w:numPr>
          <w:ilvl w:val="0"/>
          <w:numId w:val="43"/>
        </w:numPr>
        <w:snapToGrid w:val="0"/>
        <w:spacing w:line="360" w:lineRule="exact"/>
        <w:ind w:left="623" w:hanging="510"/>
        <w:rPr>
          <w:rFonts w:ascii="宋体" w:hAnsi="宋体"/>
          <w:color w:val="auto"/>
          <w:szCs w:val="21"/>
        </w:rPr>
      </w:pPr>
      <w:r>
        <w:rPr>
          <w:rFonts w:hint="eastAsia" w:ascii="宋体" w:hAnsi="宋体"/>
          <w:color w:val="auto"/>
          <w:szCs w:val="21"/>
        </w:rPr>
        <w:t>投标保证金是否已经足额缴纳。</w:t>
      </w:r>
    </w:p>
    <w:p>
      <w:pPr>
        <w:numPr>
          <w:ilvl w:val="1"/>
          <w:numId w:val="42"/>
        </w:numPr>
        <w:spacing w:beforeLines="50" w:line="320" w:lineRule="exact"/>
        <w:rPr>
          <w:rFonts w:ascii="宋体" w:hAnsi="宋体"/>
          <w:color w:val="auto"/>
          <w:szCs w:val="21"/>
        </w:rPr>
      </w:pPr>
      <w:r>
        <w:rPr>
          <w:rFonts w:hint="eastAsia" w:ascii="宋体" w:hAnsi="宋体"/>
          <w:bCs/>
          <w:color w:val="auto"/>
          <w:szCs w:val="21"/>
        </w:rPr>
        <w:tab/>
      </w:r>
      <w:r>
        <w:rPr>
          <w:rFonts w:hint="eastAsia" w:ascii="宋体" w:hAnsi="宋体"/>
          <w:color w:val="auto"/>
          <w:szCs w:val="21"/>
        </w:rPr>
        <w:t>符合性审查</w:t>
      </w:r>
    </w:p>
    <w:p>
      <w:pPr>
        <w:numPr>
          <w:ilvl w:val="0"/>
          <w:numId w:val="44"/>
        </w:numPr>
        <w:snapToGrid w:val="0"/>
        <w:spacing w:beforeLines="50" w:line="280" w:lineRule="exact"/>
        <w:rPr>
          <w:rFonts w:ascii="宋体" w:hAnsi="宋体"/>
          <w:color w:val="auto"/>
          <w:szCs w:val="21"/>
        </w:rPr>
      </w:pPr>
      <w:r>
        <w:rPr>
          <w:rFonts w:hint="eastAsia" w:ascii="宋体" w:hAnsi="宋体"/>
          <w:color w:val="auto"/>
          <w:szCs w:val="21"/>
        </w:rPr>
        <w:t>是否按招标文件的要求制作投标文件，并按招标文件要求提供相关资料；</w:t>
      </w:r>
    </w:p>
    <w:p>
      <w:pPr>
        <w:numPr>
          <w:ilvl w:val="0"/>
          <w:numId w:val="44"/>
        </w:numPr>
        <w:snapToGrid w:val="0"/>
        <w:spacing w:line="360" w:lineRule="exact"/>
        <w:ind w:left="623" w:hanging="510"/>
        <w:rPr>
          <w:rFonts w:ascii="宋体" w:hAnsi="宋体"/>
          <w:color w:val="auto"/>
          <w:szCs w:val="21"/>
        </w:rPr>
      </w:pPr>
      <w:r>
        <w:rPr>
          <w:rFonts w:hint="eastAsia" w:ascii="宋体" w:hAnsi="宋体"/>
          <w:color w:val="auto"/>
          <w:szCs w:val="21"/>
        </w:rPr>
        <w:t>所有文件是否合法有效的签署；</w:t>
      </w:r>
    </w:p>
    <w:p>
      <w:pPr>
        <w:numPr>
          <w:ilvl w:val="0"/>
          <w:numId w:val="44"/>
        </w:numPr>
        <w:snapToGrid w:val="0"/>
        <w:spacing w:line="360" w:lineRule="exact"/>
        <w:ind w:left="623" w:hanging="510"/>
        <w:rPr>
          <w:rFonts w:ascii="宋体" w:hAnsi="宋体"/>
          <w:color w:val="auto"/>
          <w:szCs w:val="21"/>
        </w:rPr>
      </w:pPr>
      <w:r>
        <w:rPr>
          <w:rFonts w:hint="eastAsia" w:ascii="宋体" w:hAnsi="宋体"/>
          <w:color w:val="auto"/>
          <w:szCs w:val="21"/>
        </w:rPr>
        <w:t>投标总价是否超过资金预算限额，采购人不能支付；</w:t>
      </w:r>
    </w:p>
    <w:p>
      <w:pPr>
        <w:numPr>
          <w:ilvl w:val="0"/>
          <w:numId w:val="44"/>
        </w:numPr>
        <w:snapToGrid w:val="0"/>
        <w:spacing w:line="360" w:lineRule="exact"/>
        <w:ind w:left="623" w:hanging="510"/>
        <w:rPr>
          <w:rFonts w:ascii="宋体" w:hAnsi="宋体"/>
          <w:color w:val="auto"/>
          <w:szCs w:val="21"/>
        </w:rPr>
      </w:pPr>
      <w:r>
        <w:rPr>
          <w:rFonts w:hint="eastAsia" w:ascii="宋体" w:hAnsi="宋体"/>
          <w:color w:val="auto"/>
          <w:szCs w:val="21"/>
        </w:rPr>
        <w:t>投标文件载明的交货期是否满足招标文件的规定；</w:t>
      </w:r>
    </w:p>
    <w:p>
      <w:pPr>
        <w:numPr>
          <w:ilvl w:val="0"/>
          <w:numId w:val="44"/>
        </w:numPr>
        <w:snapToGrid w:val="0"/>
        <w:spacing w:line="360" w:lineRule="exact"/>
        <w:ind w:left="623" w:hanging="510"/>
        <w:rPr>
          <w:rFonts w:ascii="宋体" w:hAnsi="宋体"/>
          <w:color w:val="auto"/>
          <w:szCs w:val="21"/>
        </w:rPr>
      </w:pPr>
      <w:r>
        <w:rPr>
          <w:rFonts w:hint="eastAsia" w:ascii="宋体" w:hAnsi="宋体"/>
          <w:color w:val="auto"/>
          <w:szCs w:val="21"/>
        </w:rPr>
        <w:t>法律、法规规定的其他情况。</w:t>
      </w:r>
    </w:p>
    <w:p>
      <w:pPr>
        <w:numPr>
          <w:ilvl w:val="1"/>
          <w:numId w:val="42"/>
        </w:numPr>
        <w:spacing w:beforeLines="50" w:line="320" w:lineRule="exact"/>
        <w:rPr>
          <w:rFonts w:ascii="宋体" w:hAnsi="宋体"/>
          <w:color w:val="auto"/>
          <w:szCs w:val="21"/>
        </w:rPr>
      </w:pPr>
      <w:r>
        <w:rPr>
          <w:rFonts w:hint="eastAsia" w:ascii="宋体" w:hAnsi="宋体"/>
          <w:color w:val="auto"/>
          <w:szCs w:val="21"/>
        </w:rPr>
        <w:t>招标人将拒绝未通过上述审查的投标文件。</w:t>
      </w:r>
    </w:p>
    <w:p>
      <w:pPr>
        <w:pStyle w:val="4"/>
        <w:numPr>
          <w:ilvl w:val="0"/>
          <w:numId w:val="6"/>
        </w:numPr>
        <w:adjustRightInd/>
        <w:spacing w:beforeLines="100" w:after="0" w:line="360" w:lineRule="exact"/>
        <w:textAlignment w:val="auto"/>
        <w:rPr>
          <w:rFonts w:ascii="宋体" w:hAnsi="宋体"/>
          <w:color w:val="auto"/>
          <w:sz w:val="24"/>
        </w:rPr>
      </w:pPr>
      <w:bookmarkStart w:id="145" w:name="_Toc193643711"/>
      <w:bookmarkStart w:id="146" w:name="_Toc261206975"/>
      <w:r>
        <w:rPr>
          <w:rFonts w:hint="eastAsia" w:ascii="宋体" w:hAnsi="宋体"/>
          <w:color w:val="auto"/>
          <w:sz w:val="24"/>
        </w:rPr>
        <w:tab/>
      </w:r>
      <w:bookmarkStart w:id="147" w:name="_Toc384934463"/>
      <w:r>
        <w:rPr>
          <w:rFonts w:hint="eastAsia" w:ascii="宋体" w:hAnsi="宋体"/>
          <w:color w:val="auto"/>
          <w:sz w:val="24"/>
        </w:rPr>
        <w:t>投标文件的澄清和修正</w:t>
      </w:r>
      <w:bookmarkEnd w:id="145"/>
      <w:bookmarkEnd w:id="146"/>
      <w:bookmarkEnd w:id="147"/>
    </w:p>
    <w:p>
      <w:pPr>
        <w:numPr>
          <w:ilvl w:val="1"/>
          <w:numId w:val="45"/>
        </w:numPr>
        <w:spacing w:beforeLines="50" w:line="320" w:lineRule="exact"/>
        <w:rPr>
          <w:rFonts w:ascii="宋体" w:hAnsi="宋体"/>
          <w:color w:val="auto"/>
          <w:szCs w:val="21"/>
        </w:rPr>
      </w:pPr>
      <w:r>
        <w:rPr>
          <w:rFonts w:hint="eastAsia" w:ascii="宋体" w:hAnsi="宋体"/>
          <w:bCs/>
          <w:color w:val="auto"/>
          <w:szCs w:val="21"/>
        </w:rPr>
        <w:tab/>
      </w:r>
      <w:r>
        <w:rPr>
          <w:rFonts w:hint="eastAsia" w:ascii="宋体" w:hAnsi="宋体"/>
          <w:color w:val="auto"/>
          <w:szCs w:val="21"/>
        </w:rPr>
        <w:t>为了有助于对投标文件进行审查、评估和比较，在评标期间，投标人应根据评标专家的要求派代表参加询标。</w:t>
      </w:r>
    </w:p>
    <w:p>
      <w:pPr>
        <w:numPr>
          <w:ilvl w:val="1"/>
          <w:numId w:val="45"/>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对投标文件含义不明确、同类问题表述不一致或者有明显文字和计算错误的内容，评标委员会有权要求投标人做出必要澄清、说明或者纠正。投标人的澄清、说明或补正应采用书面形式，应有投标全权代表的签字，并将作为投标内容的一部分，并不得超出投标文件的范围或者改变投标文件的实质性的内容。</w:t>
      </w:r>
    </w:p>
    <w:p>
      <w:pPr>
        <w:numPr>
          <w:ilvl w:val="1"/>
          <w:numId w:val="45"/>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评标委员会将对确定为实质上响应招标文件要求的投标文件进行校核，看其是否有计算上、累计上或表达上的错误，修正错误的原则如下：</w:t>
      </w:r>
    </w:p>
    <w:p>
      <w:pPr>
        <w:numPr>
          <w:ilvl w:val="0"/>
          <w:numId w:val="46"/>
        </w:numPr>
        <w:snapToGrid w:val="0"/>
        <w:spacing w:line="320" w:lineRule="exact"/>
        <w:rPr>
          <w:rFonts w:ascii="宋体" w:hAnsi="宋体"/>
          <w:color w:val="auto"/>
          <w:szCs w:val="21"/>
        </w:rPr>
      </w:pPr>
      <w:r>
        <w:rPr>
          <w:rFonts w:hint="eastAsia" w:ascii="宋体" w:hAnsi="宋体"/>
          <w:color w:val="auto"/>
          <w:szCs w:val="21"/>
        </w:rPr>
        <w:t>大写金额和小写金额不一致的，以大写金额为准；总价金额与按单价汇总金额不一致的，以单价金额计算结果为准；单价金额小数点有明显错位的，应以总价为准，并修改单价；对不同文字文本对投标文件的解释发生异议的，以中文文本为准。</w:t>
      </w:r>
    </w:p>
    <w:p>
      <w:pPr>
        <w:numPr>
          <w:ilvl w:val="0"/>
          <w:numId w:val="46"/>
        </w:numPr>
        <w:snapToGrid w:val="0"/>
        <w:spacing w:line="360" w:lineRule="exact"/>
        <w:rPr>
          <w:rFonts w:ascii="宋体" w:hAnsi="宋体"/>
          <w:color w:val="auto"/>
          <w:szCs w:val="21"/>
        </w:rPr>
      </w:pPr>
      <w:r>
        <w:rPr>
          <w:rFonts w:hint="eastAsia" w:ascii="宋体" w:hAnsi="宋体"/>
          <w:color w:val="auto"/>
          <w:szCs w:val="21"/>
        </w:rPr>
        <w:t>投标报价有差异时，以开标一览表为准。</w:t>
      </w:r>
    </w:p>
    <w:p>
      <w:pPr>
        <w:numPr>
          <w:ilvl w:val="0"/>
          <w:numId w:val="46"/>
        </w:numPr>
        <w:snapToGrid w:val="0"/>
        <w:spacing w:line="360" w:lineRule="exact"/>
        <w:rPr>
          <w:rFonts w:ascii="宋体" w:hAnsi="宋体"/>
          <w:color w:val="auto"/>
          <w:szCs w:val="21"/>
        </w:rPr>
      </w:pPr>
      <w:r>
        <w:rPr>
          <w:rFonts w:hint="eastAsia" w:ascii="宋体" w:hAnsi="宋体"/>
          <w:color w:val="auto"/>
          <w:szCs w:val="21"/>
        </w:rPr>
        <w:t>如投标文件正本与副本有出入，以正本为准。</w:t>
      </w:r>
    </w:p>
    <w:p>
      <w:pPr>
        <w:numPr>
          <w:ilvl w:val="0"/>
          <w:numId w:val="46"/>
        </w:numPr>
        <w:snapToGrid w:val="0"/>
        <w:spacing w:line="360" w:lineRule="exact"/>
        <w:rPr>
          <w:rFonts w:ascii="宋体" w:hAnsi="宋体"/>
          <w:color w:val="auto"/>
          <w:szCs w:val="21"/>
        </w:rPr>
      </w:pPr>
      <w:r>
        <w:rPr>
          <w:rFonts w:hint="eastAsia" w:ascii="宋体" w:hAnsi="宋体"/>
          <w:color w:val="auto"/>
          <w:szCs w:val="21"/>
        </w:rPr>
        <w:t>按上述修正错误的原则及方法调整或修正投标文件的投标报价，投标人同意后，调整后的投标报价对投标人起约束作用。如果投标人不接受修正后的报价，则其投标将被拒绝，其投标保证金不予退还。</w:t>
      </w:r>
    </w:p>
    <w:p>
      <w:pPr>
        <w:numPr>
          <w:ilvl w:val="1"/>
          <w:numId w:val="45"/>
        </w:numPr>
        <w:spacing w:beforeLines="50" w:line="320" w:lineRule="exact"/>
        <w:rPr>
          <w:rFonts w:ascii="宋体" w:hAnsi="宋体"/>
          <w:color w:val="auto"/>
          <w:szCs w:val="21"/>
        </w:rPr>
      </w:pPr>
      <w:r>
        <w:rPr>
          <w:rFonts w:hint="eastAsia" w:ascii="宋体" w:hAnsi="宋体"/>
          <w:bCs/>
          <w:color w:val="auto"/>
          <w:szCs w:val="21"/>
        </w:rPr>
        <w:tab/>
      </w:r>
      <w:r>
        <w:rPr>
          <w:rFonts w:hint="eastAsia" w:ascii="宋体" w:hAnsi="宋体"/>
          <w:color w:val="auto"/>
          <w:szCs w:val="21"/>
        </w:rPr>
        <w:t>与招标文件有重大偏离的投标文件将被拒绝。重大偏离系指投标货物的质量、数量、交货期等商务条款及货物的技术参数明显不能满足招标文件的要求。这些偏离不允许在开标后修正。</w:t>
      </w:r>
    </w:p>
    <w:p>
      <w:pPr>
        <w:numPr>
          <w:ilvl w:val="1"/>
          <w:numId w:val="45"/>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招标人有权根据投标人的投标文件对招标文件实质性响应的程度决定接受其全部或部分的投标。</w:t>
      </w:r>
    </w:p>
    <w:p>
      <w:pPr>
        <w:numPr>
          <w:ilvl w:val="1"/>
          <w:numId w:val="45"/>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招标人对投标文件的判定，只依据投标文件本身，不依靠开标后的任何外来证明。</w:t>
      </w:r>
    </w:p>
    <w:p>
      <w:pPr>
        <w:pStyle w:val="4"/>
        <w:numPr>
          <w:ilvl w:val="0"/>
          <w:numId w:val="6"/>
        </w:numPr>
        <w:adjustRightInd/>
        <w:spacing w:beforeLines="100" w:after="0" w:line="360" w:lineRule="exact"/>
        <w:textAlignment w:val="auto"/>
        <w:rPr>
          <w:rFonts w:ascii="宋体" w:hAnsi="宋体"/>
          <w:color w:val="auto"/>
          <w:sz w:val="24"/>
        </w:rPr>
      </w:pPr>
      <w:bookmarkStart w:id="148" w:name="_Toc193643712"/>
      <w:bookmarkStart w:id="149" w:name="_Toc384934464"/>
      <w:bookmarkStart w:id="150" w:name="_Toc261206976"/>
      <w:r>
        <w:rPr>
          <w:rFonts w:hint="eastAsia" w:ascii="宋体" w:hAnsi="宋体"/>
          <w:color w:val="auto"/>
          <w:sz w:val="24"/>
        </w:rPr>
        <w:t>对投标文件的评估和比较</w:t>
      </w:r>
      <w:bookmarkEnd w:id="148"/>
      <w:bookmarkEnd w:id="149"/>
      <w:bookmarkEnd w:id="150"/>
    </w:p>
    <w:p>
      <w:pPr>
        <w:numPr>
          <w:ilvl w:val="1"/>
          <w:numId w:val="47"/>
        </w:numPr>
        <w:spacing w:beforeLines="50" w:line="320" w:lineRule="exact"/>
        <w:rPr>
          <w:rFonts w:ascii="宋体" w:hAnsi="宋体"/>
          <w:color w:val="auto"/>
          <w:szCs w:val="21"/>
        </w:rPr>
      </w:pPr>
      <w:r>
        <w:rPr>
          <w:rFonts w:hint="eastAsia" w:ascii="宋体" w:hAnsi="宋体"/>
          <w:bCs/>
          <w:color w:val="auto"/>
          <w:szCs w:val="21"/>
        </w:rPr>
        <w:tab/>
      </w:r>
      <w:r>
        <w:rPr>
          <w:rFonts w:hint="eastAsia" w:ascii="宋体" w:hAnsi="宋体"/>
          <w:color w:val="auto"/>
          <w:szCs w:val="21"/>
        </w:rPr>
        <w:t>招标人及其组织的评标委员会将对实质性响应的投标文件进行评估和比较。</w:t>
      </w:r>
    </w:p>
    <w:p>
      <w:pPr>
        <w:numPr>
          <w:ilvl w:val="1"/>
          <w:numId w:val="47"/>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 xml:space="preserve">评标时除考虑投标报价以外，还将考虑以下因素： </w:t>
      </w:r>
    </w:p>
    <w:p>
      <w:pPr>
        <w:numPr>
          <w:ilvl w:val="0"/>
          <w:numId w:val="48"/>
        </w:numPr>
        <w:snapToGrid w:val="0"/>
        <w:spacing w:line="360" w:lineRule="exact"/>
        <w:rPr>
          <w:rFonts w:ascii="宋体" w:hAnsi="宋体"/>
          <w:color w:val="auto"/>
          <w:szCs w:val="21"/>
        </w:rPr>
      </w:pPr>
      <w:r>
        <w:rPr>
          <w:rFonts w:hint="eastAsia" w:ascii="宋体" w:hAnsi="宋体"/>
          <w:color w:val="auto"/>
          <w:szCs w:val="21"/>
        </w:rPr>
        <w:t>技术方案；</w:t>
      </w:r>
    </w:p>
    <w:p>
      <w:pPr>
        <w:numPr>
          <w:ilvl w:val="0"/>
          <w:numId w:val="48"/>
        </w:numPr>
        <w:snapToGrid w:val="0"/>
        <w:spacing w:line="360" w:lineRule="exact"/>
        <w:rPr>
          <w:rFonts w:ascii="宋体" w:hAnsi="宋体"/>
          <w:color w:val="auto"/>
          <w:szCs w:val="21"/>
        </w:rPr>
      </w:pPr>
      <w:r>
        <w:rPr>
          <w:rFonts w:hint="eastAsia" w:ascii="宋体" w:hAnsi="宋体"/>
          <w:color w:val="auto"/>
          <w:szCs w:val="21"/>
        </w:rPr>
        <w:t>货物的使用寿命、质保期后的维修费用；</w:t>
      </w:r>
    </w:p>
    <w:p>
      <w:pPr>
        <w:numPr>
          <w:ilvl w:val="0"/>
          <w:numId w:val="48"/>
        </w:numPr>
        <w:snapToGrid w:val="0"/>
        <w:spacing w:line="360" w:lineRule="exact"/>
        <w:rPr>
          <w:rFonts w:ascii="宋体" w:hAnsi="宋体"/>
          <w:color w:val="auto"/>
          <w:szCs w:val="21"/>
        </w:rPr>
      </w:pPr>
      <w:r>
        <w:rPr>
          <w:rFonts w:hint="eastAsia" w:ascii="宋体" w:hAnsi="宋体"/>
          <w:color w:val="auto"/>
          <w:szCs w:val="21"/>
        </w:rPr>
        <w:t>与合同条款规定的付款条件的偏差；</w:t>
      </w:r>
    </w:p>
    <w:p>
      <w:pPr>
        <w:numPr>
          <w:ilvl w:val="0"/>
          <w:numId w:val="48"/>
        </w:numPr>
        <w:snapToGrid w:val="0"/>
        <w:spacing w:line="360" w:lineRule="exact"/>
        <w:rPr>
          <w:rFonts w:ascii="宋体" w:hAnsi="宋体"/>
          <w:color w:val="auto"/>
          <w:szCs w:val="21"/>
        </w:rPr>
      </w:pPr>
      <w:r>
        <w:rPr>
          <w:rFonts w:hint="eastAsia" w:ascii="宋体" w:hAnsi="宋体"/>
          <w:color w:val="auto"/>
          <w:szCs w:val="21"/>
        </w:rPr>
        <w:t>备品备件的供应；</w:t>
      </w:r>
    </w:p>
    <w:p>
      <w:pPr>
        <w:numPr>
          <w:ilvl w:val="0"/>
          <w:numId w:val="48"/>
        </w:numPr>
        <w:snapToGrid w:val="0"/>
        <w:spacing w:line="360" w:lineRule="exact"/>
        <w:rPr>
          <w:rFonts w:ascii="宋体" w:hAnsi="宋体"/>
          <w:color w:val="auto"/>
          <w:szCs w:val="21"/>
        </w:rPr>
      </w:pPr>
      <w:r>
        <w:rPr>
          <w:rFonts w:hint="eastAsia" w:ascii="宋体" w:hAnsi="宋体"/>
          <w:color w:val="auto"/>
          <w:szCs w:val="21"/>
        </w:rPr>
        <w:t xml:space="preserve">交货时间、调试时间； </w:t>
      </w:r>
    </w:p>
    <w:p>
      <w:pPr>
        <w:numPr>
          <w:ilvl w:val="0"/>
          <w:numId w:val="48"/>
        </w:numPr>
        <w:snapToGrid w:val="0"/>
        <w:spacing w:line="360" w:lineRule="exact"/>
        <w:rPr>
          <w:rFonts w:ascii="宋体" w:hAnsi="宋体"/>
          <w:color w:val="auto"/>
          <w:szCs w:val="21"/>
        </w:rPr>
      </w:pPr>
      <w:r>
        <w:rPr>
          <w:rFonts w:hint="eastAsia" w:ascii="宋体" w:hAnsi="宋体"/>
          <w:color w:val="auto"/>
          <w:szCs w:val="21"/>
        </w:rPr>
        <w:t>运输条件及费用；</w:t>
      </w:r>
    </w:p>
    <w:p>
      <w:pPr>
        <w:numPr>
          <w:ilvl w:val="0"/>
          <w:numId w:val="48"/>
        </w:numPr>
        <w:snapToGrid w:val="0"/>
        <w:spacing w:line="360" w:lineRule="exact"/>
        <w:rPr>
          <w:rFonts w:ascii="宋体" w:hAnsi="宋体"/>
          <w:color w:val="auto"/>
          <w:szCs w:val="21"/>
        </w:rPr>
      </w:pPr>
      <w:r>
        <w:rPr>
          <w:rFonts w:hint="eastAsia" w:ascii="宋体" w:hAnsi="宋体"/>
          <w:color w:val="auto"/>
          <w:szCs w:val="21"/>
        </w:rPr>
        <w:t>经营信誉；</w:t>
      </w:r>
    </w:p>
    <w:p>
      <w:pPr>
        <w:numPr>
          <w:ilvl w:val="0"/>
          <w:numId w:val="48"/>
        </w:numPr>
        <w:snapToGrid w:val="0"/>
        <w:spacing w:line="360" w:lineRule="exact"/>
        <w:rPr>
          <w:rFonts w:ascii="宋体" w:hAnsi="宋体"/>
          <w:color w:val="auto"/>
          <w:szCs w:val="21"/>
        </w:rPr>
      </w:pPr>
      <w:r>
        <w:rPr>
          <w:rFonts w:hint="eastAsia" w:ascii="宋体" w:hAnsi="宋体"/>
          <w:color w:val="auto"/>
          <w:szCs w:val="21"/>
        </w:rPr>
        <w:t>售后服务承诺；</w:t>
      </w:r>
    </w:p>
    <w:p>
      <w:pPr>
        <w:numPr>
          <w:ilvl w:val="0"/>
          <w:numId w:val="48"/>
        </w:numPr>
        <w:snapToGrid w:val="0"/>
        <w:spacing w:line="360" w:lineRule="exact"/>
        <w:rPr>
          <w:rFonts w:ascii="宋体" w:hAnsi="宋体"/>
          <w:color w:val="auto"/>
          <w:szCs w:val="21"/>
        </w:rPr>
      </w:pPr>
      <w:r>
        <w:rPr>
          <w:rFonts w:hint="eastAsia" w:ascii="宋体" w:hAnsi="宋体"/>
          <w:color w:val="auto"/>
          <w:szCs w:val="21"/>
        </w:rPr>
        <w:t>技术规格所要求的有关服务的费用；</w:t>
      </w:r>
    </w:p>
    <w:p>
      <w:pPr>
        <w:numPr>
          <w:ilvl w:val="0"/>
          <w:numId w:val="48"/>
        </w:numPr>
        <w:snapToGrid w:val="0"/>
        <w:spacing w:line="360" w:lineRule="exact"/>
        <w:rPr>
          <w:rFonts w:ascii="宋体" w:hAnsi="宋体"/>
          <w:color w:val="auto"/>
          <w:szCs w:val="21"/>
        </w:rPr>
      </w:pPr>
      <w:r>
        <w:rPr>
          <w:rFonts w:hint="eastAsia" w:ascii="宋体" w:hAnsi="宋体"/>
          <w:color w:val="auto"/>
          <w:szCs w:val="21"/>
        </w:rPr>
        <w:t>投标优惠声明；</w:t>
      </w:r>
    </w:p>
    <w:p>
      <w:pPr>
        <w:numPr>
          <w:ilvl w:val="0"/>
          <w:numId w:val="48"/>
        </w:numPr>
        <w:snapToGrid w:val="0"/>
        <w:spacing w:line="360" w:lineRule="exact"/>
        <w:rPr>
          <w:rFonts w:ascii="宋体" w:hAnsi="宋体"/>
          <w:color w:val="auto"/>
          <w:szCs w:val="21"/>
        </w:rPr>
      </w:pPr>
      <w:r>
        <w:rPr>
          <w:rFonts w:hint="eastAsia" w:ascii="宋体" w:hAnsi="宋体"/>
          <w:color w:val="auto"/>
          <w:szCs w:val="21"/>
        </w:rPr>
        <w:t>其它特殊要求因素（如安全及环保等）。</w:t>
      </w:r>
    </w:p>
    <w:p>
      <w:pPr>
        <w:pStyle w:val="4"/>
        <w:numPr>
          <w:ilvl w:val="0"/>
          <w:numId w:val="6"/>
        </w:numPr>
        <w:adjustRightInd/>
        <w:spacing w:beforeLines="100" w:after="0" w:line="360" w:lineRule="exact"/>
        <w:textAlignment w:val="auto"/>
        <w:rPr>
          <w:rFonts w:ascii="宋体" w:hAnsi="宋体"/>
          <w:color w:val="auto"/>
          <w:sz w:val="24"/>
        </w:rPr>
      </w:pPr>
      <w:bookmarkStart w:id="151" w:name="_Toc384934465"/>
      <w:r>
        <w:rPr>
          <w:rFonts w:hint="eastAsia" w:ascii="宋体" w:hAnsi="宋体"/>
          <w:color w:val="auto"/>
          <w:sz w:val="24"/>
        </w:rPr>
        <w:t>无效投标</w:t>
      </w:r>
      <w:bookmarkEnd w:id="151"/>
    </w:p>
    <w:p>
      <w:pPr>
        <w:numPr>
          <w:ilvl w:val="1"/>
          <w:numId w:val="49"/>
        </w:numPr>
        <w:spacing w:beforeLines="50" w:line="320" w:lineRule="exact"/>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未交投标保证金；</w:t>
      </w:r>
    </w:p>
    <w:p>
      <w:pPr>
        <w:numPr>
          <w:ilvl w:val="1"/>
          <w:numId w:val="49"/>
        </w:numPr>
        <w:spacing w:beforeLines="50" w:line="320" w:lineRule="exact"/>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未</w:t>
      </w:r>
      <w:r>
        <w:rPr>
          <w:rFonts w:hint="eastAsia" w:ascii="宋体" w:hAnsi="宋体"/>
          <w:color w:val="auto"/>
          <w:szCs w:val="21"/>
        </w:rPr>
        <w:t>按照</w:t>
      </w:r>
      <w:r>
        <w:rPr>
          <w:rFonts w:hint="eastAsia" w:ascii="宋体" w:hAnsi="宋体"/>
          <w:bCs/>
          <w:color w:val="auto"/>
          <w:szCs w:val="21"/>
        </w:rPr>
        <w:t>招标文件规定要求密封、签署、盖章的；</w:t>
      </w:r>
    </w:p>
    <w:p>
      <w:pPr>
        <w:numPr>
          <w:ilvl w:val="1"/>
          <w:numId w:val="49"/>
        </w:numPr>
        <w:spacing w:beforeLines="50" w:line="320" w:lineRule="exact"/>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不</w:t>
      </w:r>
      <w:r>
        <w:rPr>
          <w:rFonts w:hint="eastAsia" w:ascii="宋体" w:hAnsi="宋体"/>
          <w:color w:val="auto"/>
          <w:szCs w:val="21"/>
        </w:rPr>
        <w:t>具备</w:t>
      </w:r>
      <w:r>
        <w:rPr>
          <w:rFonts w:hint="eastAsia" w:ascii="宋体" w:hAnsi="宋体"/>
          <w:bCs/>
          <w:color w:val="auto"/>
          <w:szCs w:val="21"/>
        </w:rPr>
        <w:t>招标文件中规定资格要求的；</w:t>
      </w:r>
    </w:p>
    <w:p>
      <w:pPr>
        <w:numPr>
          <w:ilvl w:val="1"/>
          <w:numId w:val="49"/>
        </w:numPr>
        <w:spacing w:beforeLines="50" w:line="320" w:lineRule="exact"/>
        <w:rPr>
          <w:rFonts w:ascii="宋体" w:hAnsi="宋体"/>
          <w:bCs/>
          <w:color w:val="auto"/>
          <w:szCs w:val="21"/>
        </w:rPr>
      </w:pPr>
      <w:r>
        <w:rPr>
          <w:rFonts w:hint="eastAsia" w:ascii="宋体" w:hAnsi="宋体"/>
          <w:bCs/>
          <w:color w:val="auto"/>
          <w:szCs w:val="21"/>
        </w:rPr>
        <w:t>招标文件中标注“*”或 “★”符号的条款为实质性要求条款（即重要条款），重要商务条款中有一条或重要技术条款有一条及以上不响应的其投标文件将被拒绝，在评标时将其视为无效投标。</w:t>
      </w:r>
    </w:p>
    <w:p>
      <w:pPr>
        <w:numPr>
          <w:ilvl w:val="1"/>
          <w:numId w:val="49"/>
        </w:numPr>
        <w:spacing w:beforeLines="50" w:line="320" w:lineRule="exact"/>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不</w:t>
      </w:r>
      <w:r>
        <w:rPr>
          <w:rFonts w:hint="eastAsia" w:ascii="宋体" w:hAnsi="宋体"/>
          <w:color w:val="auto"/>
          <w:szCs w:val="21"/>
        </w:rPr>
        <w:t>符合</w:t>
      </w:r>
      <w:r>
        <w:rPr>
          <w:rFonts w:hint="eastAsia" w:ascii="宋体" w:hAnsi="宋体"/>
          <w:bCs/>
          <w:color w:val="auto"/>
          <w:szCs w:val="21"/>
        </w:rPr>
        <w:t>法律、法规和招标文件中规定的其他实质性要求的。</w:t>
      </w:r>
    </w:p>
    <w:p>
      <w:pPr>
        <w:pStyle w:val="4"/>
        <w:numPr>
          <w:ilvl w:val="0"/>
          <w:numId w:val="6"/>
        </w:numPr>
        <w:adjustRightInd/>
        <w:spacing w:beforeLines="100" w:after="0" w:line="360" w:lineRule="exact"/>
        <w:textAlignment w:val="auto"/>
        <w:rPr>
          <w:rFonts w:ascii="宋体" w:hAnsi="宋体"/>
          <w:color w:val="auto"/>
          <w:sz w:val="24"/>
        </w:rPr>
      </w:pPr>
      <w:bookmarkStart w:id="152" w:name="_Toc193643714"/>
      <w:bookmarkStart w:id="153" w:name="_Toc261206977"/>
      <w:r>
        <w:rPr>
          <w:rFonts w:hint="eastAsia" w:ascii="宋体" w:hAnsi="宋体"/>
          <w:color w:val="auto"/>
          <w:sz w:val="24"/>
        </w:rPr>
        <w:tab/>
      </w:r>
      <w:bookmarkStart w:id="154" w:name="_Toc384934466"/>
      <w:r>
        <w:rPr>
          <w:rFonts w:hint="eastAsia" w:ascii="宋体" w:hAnsi="宋体"/>
          <w:color w:val="auto"/>
          <w:sz w:val="24"/>
        </w:rPr>
        <w:t>废标</w:t>
      </w:r>
      <w:bookmarkEnd w:id="152"/>
      <w:bookmarkEnd w:id="153"/>
      <w:bookmarkEnd w:id="154"/>
    </w:p>
    <w:p>
      <w:pPr>
        <w:numPr>
          <w:ilvl w:val="1"/>
          <w:numId w:val="50"/>
        </w:numPr>
        <w:spacing w:beforeLines="50"/>
        <w:rPr>
          <w:rFonts w:ascii="宋体" w:hAnsi="宋体"/>
          <w:color w:val="auto"/>
          <w:szCs w:val="21"/>
        </w:rPr>
      </w:pPr>
      <w:r>
        <w:rPr>
          <w:rFonts w:hint="eastAsia" w:ascii="宋体" w:hAnsi="宋体"/>
          <w:bCs/>
          <w:color w:val="auto"/>
          <w:szCs w:val="21"/>
        </w:rPr>
        <w:tab/>
      </w:r>
      <w:r>
        <w:rPr>
          <w:rFonts w:hint="eastAsia" w:ascii="宋体" w:hAnsi="宋体"/>
          <w:color w:val="auto"/>
          <w:szCs w:val="21"/>
        </w:rPr>
        <w:t>按照《中华人民共和国政府采购法》第三十六条规定，出现以下情况可对采购项目予以废标。废标后，招标人应当将废标理由通知所有投标人。</w:t>
      </w:r>
    </w:p>
    <w:p>
      <w:pPr>
        <w:numPr>
          <w:ilvl w:val="0"/>
          <w:numId w:val="51"/>
        </w:numPr>
        <w:snapToGrid w:val="0"/>
        <w:rPr>
          <w:rFonts w:ascii="宋体" w:hAnsi="宋体"/>
          <w:color w:val="auto"/>
          <w:szCs w:val="21"/>
        </w:rPr>
      </w:pPr>
      <w:r>
        <w:rPr>
          <w:rFonts w:hint="eastAsia" w:ascii="宋体" w:hAnsi="宋体"/>
          <w:color w:val="auto"/>
          <w:szCs w:val="21"/>
        </w:rPr>
        <w:t>公开招标符合专业条件的投标人或者对招标文件作实质响应的投标人不足三家的；</w:t>
      </w:r>
    </w:p>
    <w:p>
      <w:pPr>
        <w:numPr>
          <w:ilvl w:val="0"/>
          <w:numId w:val="51"/>
        </w:numPr>
        <w:snapToGrid w:val="0"/>
        <w:rPr>
          <w:rFonts w:ascii="宋体" w:hAnsi="宋体"/>
          <w:color w:val="auto"/>
          <w:szCs w:val="21"/>
        </w:rPr>
      </w:pPr>
      <w:r>
        <w:rPr>
          <w:rFonts w:hint="eastAsia" w:ascii="宋体" w:hAnsi="宋体"/>
          <w:color w:val="auto"/>
          <w:szCs w:val="21"/>
        </w:rPr>
        <w:t xml:space="preserve">出现影响采购公正的违法、违规行为的； </w:t>
      </w:r>
    </w:p>
    <w:p>
      <w:pPr>
        <w:numPr>
          <w:ilvl w:val="0"/>
          <w:numId w:val="51"/>
        </w:numPr>
        <w:snapToGrid w:val="0"/>
        <w:rPr>
          <w:rFonts w:ascii="宋体" w:hAnsi="宋体"/>
          <w:color w:val="auto"/>
          <w:szCs w:val="21"/>
        </w:rPr>
      </w:pPr>
      <w:r>
        <w:rPr>
          <w:rFonts w:hint="eastAsia" w:ascii="宋体" w:hAnsi="宋体"/>
          <w:color w:val="auto"/>
          <w:szCs w:val="21"/>
        </w:rPr>
        <w:t>投标人的报价均超过了采购预算，采购人不能支付的；</w:t>
      </w:r>
    </w:p>
    <w:p>
      <w:pPr>
        <w:numPr>
          <w:ilvl w:val="0"/>
          <w:numId w:val="51"/>
        </w:numPr>
        <w:snapToGrid w:val="0"/>
        <w:rPr>
          <w:rFonts w:ascii="宋体" w:hAnsi="宋体"/>
          <w:color w:val="auto"/>
          <w:szCs w:val="21"/>
        </w:rPr>
      </w:pPr>
      <w:r>
        <w:rPr>
          <w:rFonts w:hint="eastAsia" w:ascii="宋体" w:hAnsi="宋体"/>
          <w:color w:val="auto"/>
          <w:szCs w:val="21"/>
        </w:rPr>
        <w:t>因重大变故，采购任务取消的。</w:t>
      </w:r>
    </w:p>
    <w:p>
      <w:pPr>
        <w:numPr>
          <w:ilvl w:val="1"/>
          <w:numId w:val="50"/>
        </w:numPr>
        <w:spacing w:beforeLines="50"/>
        <w:rPr>
          <w:rFonts w:ascii="宋体" w:hAnsi="宋体"/>
          <w:color w:val="auto"/>
          <w:szCs w:val="21"/>
        </w:rPr>
      </w:pPr>
      <w:r>
        <w:rPr>
          <w:rFonts w:hint="eastAsia" w:ascii="宋体" w:hAnsi="宋体"/>
          <w:bCs/>
          <w:color w:val="auto"/>
          <w:szCs w:val="21"/>
        </w:rPr>
        <w:tab/>
      </w:r>
      <w:r>
        <w:rPr>
          <w:rFonts w:hint="eastAsia" w:ascii="宋体" w:hAnsi="宋体"/>
          <w:color w:val="auto"/>
          <w:szCs w:val="21"/>
        </w:rPr>
        <w:t>废标后，除采购任务取消情形外，按照《中华人民共和国政府采购法》第三十七条规定，重新组织招标。</w:t>
      </w:r>
    </w:p>
    <w:p>
      <w:pPr>
        <w:pStyle w:val="4"/>
        <w:numPr>
          <w:ilvl w:val="0"/>
          <w:numId w:val="6"/>
        </w:numPr>
        <w:adjustRightInd/>
        <w:spacing w:beforeLines="100" w:after="0" w:line="240" w:lineRule="auto"/>
        <w:textAlignment w:val="auto"/>
        <w:rPr>
          <w:rFonts w:ascii="宋体" w:hAnsi="宋体"/>
          <w:color w:val="auto"/>
          <w:sz w:val="24"/>
        </w:rPr>
      </w:pPr>
      <w:bookmarkStart w:id="155" w:name="_Toc193643715"/>
      <w:bookmarkStart w:id="156" w:name="_Toc103569387"/>
      <w:bookmarkStart w:id="157" w:name="_Toc261206978"/>
      <w:bookmarkStart w:id="158" w:name="_Toc134155432"/>
      <w:r>
        <w:rPr>
          <w:rFonts w:hint="eastAsia" w:ascii="宋体" w:hAnsi="宋体"/>
          <w:color w:val="auto"/>
          <w:sz w:val="24"/>
        </w:rPr>
        <w:tab/>
      </w:r>
      <w:bookmarkStart w:id="159" w:name="_Toc384934467"/>
      <w:r>
        <w:rPr>
          <w:rFonts w:hint="eastAsia" w:ascii="宋体" w:hAnsi="宋体"/>
          <w:color w:val="auto"/>
          <w:sz w:val="24"/>
        </w:rPr>
        <w:t>评标方法</w:t>
      </w:r>
      <w:bookmarkEnd w:id="155"/>
      <w:bookmarkEnd w:id="156"/>
      <w:bookmarkEnd w:id="157"/>
      <w:bookmarkEnd w:id="158"/>
      <w:bookmarkEnd w:id="159"/>
    </w:p>
    <w:p>
      <w:pPr>
        <w:tabs>
          <w:tab w:val="left" w:pos="0"/>
        </w:tabs>
        <w:adjustRightInd w:val="0"/>
        <w:snapToGrid w:val="0"/>
        <w:ind w:firstLine="420" w:firstLineChars="200"/>
        <w:rPr>
          <w:rFonts w:ascii="宋体" w:hAnsi="宋体"/>
          <w:color w:val="auto"/>
          <w:szCs w:val="21"/>
        </w:rPr>
        <w:sectPr>
          <w:headerReference r:id="rId9" w:type="default"/>
          <w:pgSz w:w="11906" w:h="16838"/>
          <w:pgMar w:top="907" w:right="1588" w:bottom="1219" w:left="1588" w:header="567" w:footer="454" w:gutter="0"/>
          <w:paperSrc w:first="1" w:other="1"/>
          <w:cols w:space="720" w:num="1"/>
          <w:docGrid w:linePitch="312" w:charSpace="0"/>
        </w:sectPr>
      </w:pPr>
      <w:bookmarkStart w:id="160" w:name="_Toc103569389"/>
      <w:bookmarkStart w:id="161" w:name="_Toc261206979"/>
      <w:bookmarkStart w:id="162" w:name="_Toc193643716"/>
      <w:bookmarkStart w:id="163" w:name="_Toc134155434"/>
      <w:r>
        <w:rPr>
          <w:rFonts w:hint="eastAsia" w:ascii="宋体" w:hAnsi="宋体"/>
          <w:color w:val="auto"/>
          <w:szCs w:val="21"/>
        </w:rPr>
        <w:t>30.1</w:t>
      </w:r>
      <w:r>
        <w:rPr>
          <w:rFonts w:hint="eastAsia" w:ascii="宋体" w:hAnsi="宋体"/>
          <w:color w:val="auto"/>
          <w:szCs w:val="21"/>
        </w:rPr>
        <w:tab/>
      </w:r>
      <w:r>
        <w:rPr>
          <w:rFonts w:hint="eastAsia" w:ascii="宋体" w:hAnsi="宋体"/>
          <w:color w:val="auto"/>
          <w:szCs w:val="21"/>
        </w:rPr>
        <w:t>本项目评标方法：综合评分法（见下表），即投标文件满足招标文件全部实质性要求且经评审投标得分最高的投标人为中标候选人的评标方法。</w:t>
      </w:r>
    </w:p>
    <w:p>
      <w:pPr>
        <w:pStyle w:val="2"/>
        <w:spacing w:line="240" w:lineRule="auto"/>
        <w:jc w:val="center"/>
        <w:rPr>
          <w:rFonts w:ascii="仿宋_GB2312" w:eastAsia="仿宋_GB2312"/>
          <w:color w:val="auto"/>
          <w:sz w:val="30"/>
          <w:szCs w:val="30"/>
        </w:rPr>
      </w:pPr>
      <w:r>
        <w:rPr>
          <w:rFonts w:hint="eastAsia"/>
          <w:color w:val="auto"/>
          <w:sz w:val="32"/>
          <w:szCs w:val="32"/>
        </w:rPr>
        <w:t xml:space="preserve">评分标准 </w:t>
      </w:r>
      <w:r>
        <w:rPr>
          <w:rFonts w:hint="eastAsia"/>
          <w:color w:val="auto"/>
        </w:rPr>
        <w:t xml:space="preserve">                </w:t>
      </w:r>
      <w:r>
        <w:rPr>
          <w:rFonts w:hint="eastAsia" w:ascii="仿宋_GB2312" w:eastAsia="仿宋_GB2312"/>
          <w:color w:val="auto"/>
          <w:sz w:val="30"/>
          <w:szCs w:val="30"/>
        </w:rPr>
        <w:t xml:space="preserve">       </w:t>
      </w:r>
    </w:p>
    <w:p>
      <w:pPr>
        <w:pStyle w:val="2"/>
        <w:spacing w:line="240" w:lineRule="auto"/>
        <w:jc w:val="right"/>
        <w:rPr>
          <w:rFonts w:ascii="仿宋_GB2312" w:eastAsia="仿宋_GB2312"/>
          <w:color w:val="auto"/>
          <w:sz w:val="30"/>
          <w:szCs w:val="30"/>
        </w:rPr>
      </w:pPr>
      <w:r>
        <w:rPr>
          <w:rFonts w:hint="eastAsia" w:ascii="仿宋_GB2312" w:eastAsia="仿宋_GB2312"/>
          <w:color w:val="auto"/>
          <w:sz w:val="30"/>
          <w:szCs w:val="30"/>
        </w:rPr>
        <w:t>总分：100分</w:t>
      </w:r>
    </w:p>
    <w:p>
      <w:pPr>
        <w:rPr>
          <w:color w:val="auto"/>
        </w:rPr>
      </w:pPr>
    </w:p>
    <w:tbl>
      <w:tblPr>
        <w:tblStyle w:val="47"/>
        <w:tblW w:w="9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1323"/>
        <w:gridCol w:w="516"/>
        <w:gridCol w:w="2160"/>
        <w:gridCol w:w="4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414" w:type="dxa"/>
            <w:vAlign w:val="center"/>
          </w:tcPr>
          <w:p>
            <w:pPr>
              <w:jc w:val="center"/>
              <w:rPr>
                <w:color w:val="auto"/>
              </w:rPr>
            </w:pPr>
            <w:r>
              <w:rPr>
                <w:rFonts w:hint="eastAsia"/>
                <w:color w:val="auto"/>
              </w:rPr>
              <w:t>分项</w:t>
            </w:r>
          </w:p>
        </w:tc>
        <w:tc>
          <w:tcPr>
            <w:tcW w:w="1323" w:type="dxa"/>
            <w:vAlign w:val="center"/>
          </w:tcPr>
          <w:p>
            <w:pPr>
              <w:jc w:val="center"/>
              <w:rPr>
                <w:color w:val="auto"/>
              </w:rPr>
            </w:pPr>
            <w:r>
              <w:rPr>
                <w:rFonts w:hint="eastAsia"/>
                <w:color w:val="auto"/>
              </w:rPr>
              <w:t>评分因素</w:t>
            </w:r>
          </w:p>
        </w:tc>
        <w:tc>
          <w:tcPr>
            <w:tcW w:w="516" w:type="dxa"/>
            <w:vAlign w:val="center"/>
          </w:tcPr>
          <w:p>
            <w:pPr>
              <w:jc w:val="center"/>
              <w:rPr>
                <w:color w:val="auto"/>
              </w:rPr>
            </w:pPr>
            <w:r>
              <w:rPr>
                <w:rFonts w:hint="eastAsia"/>
                <w:color w:val="auto"/>
              </w:rPr>
              <w:t>分数</w:t>
            </w:r>
          </w:p>
        </w:tc>
        <w:tc>
          <w:tcPr>
            <w:tcW w:w="6717" w:type="dxa"/>
            <w:gridSpan w:val="2"/>
            <w:vAlign w:val="center"/>
          </w:tcPr>
          <w:p>
            <w:pPr>
              <w:jc w:val="center"/>
              <w:rPr>
                <w:color w:val="auto"/>
              </w:rPr>
            </w:pPr>
            <w:r>
              <w:rPr>
                <w:rFonts w:hint="eastAsia"/>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1" w:hRule="atLeast"/>
          <w:jc w:val="center"/>
        </w:trPr>
        <w:tc>
          <w:tcPr>
            <w:tcW w:w="1414" w:type="dxa"/>
            <w:vAlign w:val="center"/>
          </w:tcPr>
          <w:p>
            <w:pPr>
              <w:jc w:val="center"/>
              <w:rPr>
                <w:color w:val="auto"/>
              </w:rPr>
            </w:pPr>
            <w:r>
              <w:rPr>
                <w:rFonts w:hint="eastAsia"/>
                <w:color w:val="auto"/>
              </w:rPr>
              <w:t>价格</w:t>
            </w:r>
          </w:p>
          <w:p>
            <w:pPr>
              <w:jc w:val="center"/>
              <w:rPr>
                <w:color w:val="auto"/>
              </w:rPr>
            </w:pPr>
            <w:r>
              <w:rPr>
                <w:rFonts w:hint="eastAsia"/>
                <w:color w:val="auto"/>
              </w:rPr>
              <w:t>（</w:t>
            </w:r>
            <w:r>
              <w:rPr>
                <w:color w:val="auto"/>
              </w:rPr>
              <w:t>30</w:t>
            </w:r>
            <w:r>
              <w:rPr>
                <w:rFonts w:hint="eastAsia"/>
                <w:color w:val="auto"/>
              </w:rPr>
              <w:t>分）</w:t>
            </w:r>
          </w:p>
        </w:tc>
        <w:tc>
          <w:tcPr>
            <w:tcW w:w="1323" w:type="dxa"/>
            <w:vAlign w:val="center"/>
          </w:tcPr>
          <w:p>
            <w:pPr>
              <w:jc w:val="center"/>
              <w:rPr>
                <w:color w:val="auto"/>
              </w:rPr>
            </w:pPr>
            <w:r>
              <w:rPr>
                <w:rFonts w:hint="eastAsia"/>
                <w:color w:val="auto"/>
              </w:rPr>
              <w:t>投标报价</w:t>
            </w:r>
          </w:p>
        </w:tc>
        <w:tc>
          <w:tcPr>
            <w:tcW w:w="516" w:type="dxa"/>
            <w:vAlign w:val="center"/>
          </w:tcPr>
          <w:p>
            <w:pPr>
              <w:jc w:val="center"/>
              <w:rPr>
                <w:color w:val="auto"/>
              </w:rPr>
            </w:pPr>
            <w:r>
              <w:rPr>
                <w:color w:val="auto"/>
              </w:rPr>
              <w:t>30</w:t>
            </w:r>
          </w:p>
        </w:tc>
        <w:tc>
          <w:tcPr>
            <w:tcW w:w="6717" w:type="dxa"/>
            <w:gridSpan w:val="2"/>
            <w:vAlign w:val="center"/>
          </w:tcPr>
          <w:p>
            <w:pPr>
              <w:jc w:val="left"/>
              <w:rPr>
                <w:color w:val="auto"/>
                <w:sz w:val="24"/>
              </w:rPr>
            </w:pPr>
            <w:r>
              <w:rPr>
                <w:rFonts w:hint="eastAsia"/>
                <w:color w:val="auto"/>
                <w:sz w:val="24"/>
              </w:rPr>
              <w:t>有效的投标报价中的最低价为评标基准价，按照下列公式计算每个供应商的投标价格得分。</w:t>
            </w:r>
          </w:p>
          <w:p>
            <w:pPr>
              <w:jc w:val="left"/>
              <w:rPr>
                <w:color w:val="auto"/>
                <w:sz w:val="24"/>
              </w:rPr>
            </w:pPr>
            <w:r>
              <w:rPr>
                <w:rFonts w:hint="eastAsia"/>
                <w:color w:val="auto"/>
                <w:sz w:val="24"/>
              </w:rPr>
              <w:t>投标报价得分＝（评标基准价</w:t>
            </w:r>
            <w:r>
              <w:rPr>
                <w:b/>
                <w:bCs/>
                <w:color w:val="auto"/>
                <w:sz w:val="24"/>
              </w:rPr>
              <w:t>/</w:t>
            </w:r>
            <w:r>
              <w:rPr>
                <w:rFonts w:hint="eastAsia"/>
                <w:color w:val="auto"/>
                <w:sz w:val="24"/>
              </w:rPr>
              <w:t>投标报价）×</w:t>
            </w:r>
            <w:r>
              <w:rPr>
                <w:color w:val="auto"/>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5" w:hRule="atLeast"/>
          <w:jc w:val="center"/>
        </w:trPr>
        <w:tc>
          <w:tcPr>
            <w:tcW w:w="1414" w:type="dxa"/>
            <w:vAlign w:val="center"/>
          </w:tcPr>
          <w:p>
            <w:pPr>
              <w:jc w:val="center"/>
              <w:rPr>
                <w:color w:val="auto"/>
              </w:rPr>
            </w:pPr>
            <w:r>
              <w:rPr>
                <w:rFonts w:hint="eastAsia"/>
                <w:color w:val="auto"/>
              </w:rPr>
              <w:t>技术部分</w:t>
            </w:r>
          </w:p>
          <w:p>
            <w:pPr>
              <w:jc w:val="center"/>
              <w:rPr>
                <w:color w:val="auto"/>
              </w:rPr>
            </w:pPr>
            <w:r>
              <w:rPr>
                <w:rFonts w:hint="eastAsia"/>
                <w:color w:val="auto"/>
              </w:rPr>
              <w:t>（</w:t>
            </w:r>
            <w:r>
              <w:rPr>
                <w:color w:val="auto"/>
              </w:rPr>
              <w:t>30</w:t>
            </w:r>
            <w:r>
              <w:rPr>
                <w:rFonts w:hint="eastAsia"/>
                <w:color w:val="auto"/>
              </w:rPr>
              <w:t>分）</w:t>
            </w:r>
          </w:p>
        </w:tc>
        <w:tc>
          <w:tcPr>
            <w:tcW w:w="1323" w:type="dxa"/>
            <w:vAlign w:val="center"/>
          </w:tcPr>
          <w:p>
            <w:pPr>
              <w:jc w:val="center"/>
              <w:rPr>
                <w:color w:val="auto"/>
              </w:rPr>
            </w:pPr>
            <w:r>
              <w:rPr>
                <w:rFonts w:hint="eastAsia"/>
                <w:color w:val="auto"/>
              </w:rPr>
              <w:t>产品技术及参数要求</w:t>
            </w:r>
          </w:p>
        </w:tc>
        <w:tc>
          <w:tcPr>
            <w:tcW w:w="516" w:type="dxa"/>
            <w:vAlign w:val="center"/>
          </w:tcPr>
          <w:p>
            <w:pPr>
              <w:jc w:val="center"/>
              <w:rPr>
                <w:color w:val="auto"/>
              </w:rPr>
            </w:pPr>
            <w:r>
              <w:rPr>
                <w:color w:val="auto"/>
              </w:rPr>
              <w:t>30</w:t>
            </w:r>
          </w:p>
        </w:tc>
        <w:tc>
          <w:tcPr>
            <w:tcW w:w="2160" w:type="dxa"/>
            <w:vAlign w:val="center"/>
          </w:tcPr>
          <w:p>
            <w:pPr>
              <w:jc w:val="left"/>
              <w:rPr>
                <w:color w:val="auto"/>
                <w:kern w:val="0"/>
                <w:sz w:val="24"/>
              </w:rPr>
            </w:pPr>
            <w:r>
              <w:rPr>
                <w:rFonts w:hint="eastAsia"/>
                <w:color w:val="auto"/>
                <w:kern w:val="0"/>
                <w:sz w:val="24"/>
              </w:rPr>
              <w:t>技术参数响应程度</w:t>
            </w:r>
          </w:p>
        </w:tc>
        <w:tc>
          <w:tcPr>
            <w:tcW w:w="4557" w:type="dxa"/>
            <w:tcBorders>
              <w:bottom w:val="nil"/>
            </w:tcBorders>
            <w:vAlign w:val="center"/>
          </w:tcPr>
          <w:p>
            <w:pPr>
              <w:jc w:val="left"/>
              <w:rPr>
                <w:color w:val="auto"/>
                <w:sz w:val="24"/>
              </w:rPr>
            </w:pPr>
            <w:r>
              <w:rPr>
                <w:color w:val="auto"/>
                <w:sz w:val="24"/>
              </w:rPr>
              <w:t>1.</w:t>
            </w:r>
            <w:r>
              <w:rPr>
                <w:rFonts w:hint="eastAsia"/>
                <w:color w:val="auto"/>
                <w:sz w:val="24"/>
              </w:rPr>
              <w:t>满足或优于采购要求的得</w:t>
            </w:r>
            <w:r>
              <w:rPr>
                <w:color w:val="auto"/>
                <w:sz w:val="24"/>
              </w:rPr>
              <w:t>30</w:t>
            </w:r>
            <w:r>
              <w:rPr>
                <w:rFonts w:hint="eastAsia"/>
                <w:color w:val="auto"/>
                <w:sz w:val="24"/>
              </w:rPr>
              <w:t>分；</w:t>
            </w:r>
          </w:p>
          <w:p>
            <w:pPr>
              <w:jc w:val="left"/>
              <w:rPr>
                <w:color w:val="auto"/>
                <w:sz w:val="24"/>
              </w:rPr>
            </w:pPr>
            <w:r>
              <w:rPr>
                <w:color w:val="auto"/>
                <w:sz w:val="24"/>
              </w:rPr>
              <w:t xml:space="preserve">2. </w:t>
            </w:r>
            <w:r>
              <w:rPr>
                <w:rFonts w:hint="eastAsia"/>
                <w:color w:val="auto"/>
                <w:sz w:val="24"/>
              </w:rPr>
              <w:t>非★技术条款有</w:t>
            </w:r>
            <w:r>
              <w:rPr>
                <w:color w:val="auto"/>
                <w:sz w:val="24"/>
              </w:rPr>
              <w:t>1</w:t>
            </w:r>
            <w:r>
              <w:rPr>
                <w:rFonts w:hint="eastAsia"/>
                <w:color w:val="auto"/>
                <w:sz w:val="24"/>
              </w:rPr>
              <w:t>条不满足，扣3分；两条不满足扣6分；以此类推，但超过六条（含六条）不满足，技术部分得零分；</w:t>
            </w:r>
          </w:p>
          <w:p>
            <w:pPr>
              <w:jc w:val="left"/>
              <w:rPr>
                <w:color w:val="auto"/>
                <w:sz w:val="24"/>
              </w:rPr>
            </w:pPr>
            <w:r>
              <w:rPr>
                <w:color w:val="auto"/>
                <w:sz w:val="24"/>
              </w:rPr>
              <w:t xml:space="preserve">3. </w:t>
            </w:r>
            <w:r>
              <w:rPr>
                <w:rFonts w:hint="eastAsia"/>
                <w:color w:val="auto"/>
                <w:sz w:val="24"/>
              </w:rPr>
              <w:t>★的技术条款有</w:t>
            </w:r>
            <w:r>
              <w:rPr>
                <w:color w:val="auto"/>
                <w:sz w:val="24"/>
              </w:rPr>
              <w:t>1</w:t>
            </w:r>
            <w:r>
              <w:rPr>
                <w:rFonts w:hint="eastAsia"/>
                <w:color w:val="auto"/>
                <w:sz w:val="24"/>
              </w:rPr>
              <w:t>条不满足，技术部分得零分；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5" w:hRule="atLeast"/>
          <w:jc w:val="center"/>
        </w:trPr>
        <w:tc>
          <w:tcPr>
            <w:tcW w:w="1414" w:type="dxa"/>
            <w:vMerge w:val="restart"/>
            <w:textDirection w:val="tbRlV"/>
            <w:vAlign w:val="center"/>
          </w:tcPr>
          <w:p>
            <w:pPr>
              <w:jc w:val="center"/>
              <w:rPr>
                <w:color w:val="auto"/>
              </w:rPr>
            </w:pPr>
            <w:r>
              <w:rPr>
                <w:rFonts w:hint="eastAsia"/>
                <w:color w:val="auto"/>
              </w:rPr>
              <w:t>商务部分（</w:t>
            </w:r>
            <w:r>
              <w:rPr>
                <w:color w:val="auto"/>
              </w:rPr>
              <w:t>40</w:t>
            </w:r>
            <w:r>
              <w:rPr>
                <w:rFonts w:hint="eastAsia"/>
                <w:color w:val="auto"/>
              </w:rPr>
              <w:t>分）</w:t>
            </w:r>
          </w:p>
        </w:tc>
        <w:tc>
          <w:tcPr>
            <w:tcW w:w="1323" w:type="dxa"/>
            <w:vAlign w:val="center"/>
          </w:tcPr>
          <w:p>
            <w:pPr>
              <w:jc w:val="center"/>
              <w:rPr>
                <w:color w:val="auto"/>
              </w:rPr>
            </w:pPr>
            <w:r>
              <w:rPr>
                <w:rFonts w:hint="eastAsia"/>
                <w:color w:val="auto"/>
              </w:rPr>
              <w:t>业绩</w:t>
            </w:r>
          </w:p>
        </w:tc>
        <w:tc>
          <w:tcPr>
            <w:tcW w:w="516" w:type="dxa"/>
            <w:vAlign w:val="center"/>
          </w:tcPr>
          <w:p>
            <w:pPr>
              <w:jc w:val="center"/>
              <w:rPr>
                <w:color w:val="auto"/>
              </w:rPr>
            </w:pPr>
            <w:r>
              <w:rPr>
                <w:color w:val="auto"/>
              </w:rPr>
              <w:t>20</w:t>
            </w:r>
          </w:p>
        </w:tc>
        <w:tc>
          <w:tcPr>
            <w:tcW w:w="6717" w:type="dxa"/>
            <w:gridSpan w:val="2"/>
            <w:vAlign w:val="center"/>
          </w:tcPr>
          <w:p>
            <w:pPr>
              <w:jc w:val="left"/>
              <w:rPr>
                <w:color w:val="auto"/>
                <w:sz w:val="24"/>
              </w:rPr>
            </w:pPr>
            <w:r>
              <w:rPr>
                <w:rFonts w:hint="eastAsia" w:cs="宋体"/>
                <w:color w:val="auto"/>
                <w:kern w:val="0"/>
                <w:sz w:val="24"/>
              </w:rPr>
              <w:t>提供2017年1月1日以来</w:t>
            </w:r>
            <w:r>
              <w:rPr>
                <w:rFonts w:hint="eastAsia"/>
                <w:color w:val="auto"/>
                <w:sz w:val="24"/>
              </w:rPr>
              <w:t>实验室废弃物暂存柜供应商</w:t>
            </w:r>
            <w:r>
              <w:rPr>
                <w:rFonts w:hint="eastAsia" w:cs="宋体"/>
                <w:color w:val="auto"/>
                <w:kern w:val="0"/>
                <w:sz w:val="24"/>
              </w:rPr>
              <w:t>与用户单位</w:t>
            </w:r>
            <w:r>
              <w:rPr>
                <w:rFonts w:hint="eastAsia"/>
                <w:color w:val="auto"/>
                <w:sz w:val="24"/>
              </w:rPr>
              <w:t>签定的</w:t>
            </w:r>
            <w:r>
              <w:rPr>
                <w:rFonts w:hint="eastAsia" w:cs="宋体"/>
                <w:color w:val="auto"/>
                <w:kern w:val="0"/>
                <w:sz w:val="24"/>
              </w:rPr>
              <w:t>同类产品合同总金额大于</w:t>
            </w:r>
            <w:r>
              <w:rPr>
                <w:rFonts w:cs="宋体"/>
                <w:color w:val="auto"/>
                <w:kern w:val="0"/>
                <w:sz w:val="24"/>
              </w:rPr>
              <w:t>50</w:t>
            </w:r>
            <w:r>
              <w:rPr>
                <w:rFonts w:hint="eastAsia" w:cs="宋体"/>
                <w:color w:val="auto"/>
                <w:kern w:val="0"/>
                <w:sz w:val="24"/>
              </w:rPr>
              <w:t>万元（含50万元）的合同复印件（加盖公章）；或</w:t>
            </w:r>
            <w:r>
              <w:rPr>
                <w:rFonts w:hint="eastAsia"/>
                <w:color w:val="auto"/>
                <w:sz w:val="24"/>
              </w:rPr>
              <w:t>提供</w:t>
            </w:r>
            <w:r>
              <w:rPr>
                <w:rFonts w:hint="eastAsia" w:cs="宋体"/>
                <w:color w:val="auto"/>
                <w:kern w:val="0"/>
                <w:sz w:val="24"/>
              </w:rPr>
              <w:t>实验室废弃物暂存柜</w:t>
            </w:r>
            <w:r>
              <w:rPr>
                <w:rFonts w:hint="eastAsia"/>
                <w:color w:val="auto"/>
                <w:sz w:val="24"/>
              </w:rPr>
              <w:t>供应商与</w:t>
            </w:r>
            <w:r>
              <w:rPr>
                <w:rFonts w:hint="eastAsia" w:cs="宋体"/>
                <w:color w:val="auto"/>
                <w:sz w:val="24"/>
              </w:rPr>
              <w:t>用户单位</w:t>
            </w:r>
            <w:r>
              <w:rPr>
                <w:rFonts w:hint="eastAsia"/>
                <w:color w:val="auto"/>
                <w:sz w:val="24"/>
              </w:rPr>
              <w:t>直接签定的</w:t>
            </w:r>
            <w:r>
              <w:rPr>
                <w:rFonts w:hint="eastAsia" w:cs="宋体"/>
                <w:color w:val="auto"/>
                <w:kern w:val="0"/>
                <w:sz w:val="24"/>
              </w:rPr>
              <w:t>废弃物（含废气、废液和废物）</w:t>
            </w:r>
            <w:r>
              <w:rPr>
                <w:rFonts w:hint="eastAsia"/>
                <w:color w:val="auto"/>
                <w:sz w:val="24"/>
              </w:rPr>
              <w:t>处理案例金额大于</w:t>
            </w:r>
            <w:r>
              <w:rPr>
                <w:color w:val="auto"/>
                <w:sz w:val="24"/>
              </w:rPr>
              <w:t>50</w:t>
            </w:r>
            <w:r>
              <w:rPr>
                <w:rFonts w:hint="eastAsia"/>
                <w:color w:val="auto"/>
                <w:sz w:val="24"/>
              </w:rPr>
              <w:t>万的合同复印件</w:t>
            </w:r>
            <w:r>
              <w:rPr>
                <w:rFonts w:hint="eastAsia" w:cs="宋体"/>
                <w:color w:val="auto"/>
                <w:kern w:val="0"/>
                <w:sz w:val="24"/>
              </w:rPr>
              <w:t>（加盖公章）；</w:t>
            </w:r>
            <w:r>
              <w:rPr>
                <w:rFonts w:cs="宋体"/>
                <w:color w:val="auto"/>
                <w:kern w:val="0"/>
                <w:sz w:val="24"/>
              </w:rPr>
              <w:t xml:space="preserve"> </w:t>
            </w:r>
            <w:r>
              <w:rPr>
                <w:rFonts w:hint="eastAsia"/>
                <w:color w:val="auto"/>
                <w:sz w:val="24"/>
              </w:rPr>
              <w:t>每提供</w:t>
            </w:r>
            <w:r>
              <w:rPr>
                <w:color w:val="auto"/>
                <w:sz w:val="24"/>
              </w:rPr>
              <w:t>1</w:t>
            </w:r>
            <w:r>
              <w:rPr>
                <w:rFonts w:hint="eastAsia"/>
                <w:color w:val="auto"/>
                <w:sz w:val="24"/>
              </w:rPr>
              <w:t>个合同得</w:t>
            </w:r>
            <w:r>
              <w:rPr>
                <w:color w:val="auto"/>
                <w:sz w:val="24"/>
              </w:rPr>
              <w:t>5</w:t>
            </w:r>
            <w:r>
              <w:rPr>
                <w:rFonts w:hint="eastAsia"/>
                <w:color w:val="auto"/>
                <w:sz w:val="24"/>
              </w:rPr>
              <w:t>分，总分</w:t>
            </w:r>
            <w:r>
              <w:rPr>
                <w:color w:val="auto"/>
                <w:sz w:val="24"/>
              </w:rPr>
              <w:t>20</w:t>
            </w:r>
            <w:r>
              <w:rPr>
                <w:rFonts w:hint="eastAsia"/>
                <w:color w:val="auto"/>
                <w:sz w:val="24"/>
              </w:rPr>
              <w:t>分。复印件材料无公章者不得分。原件备查。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5" w:hRule="atLeast"/>
          <w:jc w:val="center"/>
        </w:trPr>
        <w:tc>
          <w:tcPr>
            <w:tcW w:w="1414" w:type="dxa"/>
            <w:vMerge w:val="continue"/>
            <w:vAlign w:val="center"/>
          </w:tcPr>
          <w:p>
            <w:pPr>
              <w:widowControl/>
              <w:jc w:val="left"/>
              <w:rPr>
                <w:color w:val="auto"/>
              </w:rPr>
            </w:pPr>
          </w:p>
        </w:tc>
        <w:tc>
          <w:tcPr>
            <w:tcW w:w="1323" w:type="dxa"/>
            <w:vAlign w:val="center"/>
          </w:tcPr>
          <w:p>
            <w:pPr>
              <w:jc w:val="center"/>
              <w:rPr>
                <w:color w:val="auto"/>
              </w:rPr>
            </w:pPr>
            <w:r>
              <w:rPr>
                <w:rFonts w:hint="eastAsia"/>
                <w:color w:val="auto"/>
              </w:rPr>
              <w:t>供应商综合实力、资质和信誉</w:t>
            </w:r>
          </w:p>
        </w:tc>
        <w:tc>
          <w:tcPr>
            <w:tcW w:w="516" w:type="dxa"/>
            <w:vAlign w:val="center"/>
          </w:tcPr>
          <w:p>
            <w:pPr>
              <w:jc w:val="center"/>
              <w:rPr>
                <w:color w:val="auto"/>
              </w:rPr>
            </w:pPr>
            <w:r>
              <w:rPr>
                <w:color w:val="auto"/>
              </w:rPr>
              <w:t>1</w:t>
            </w:r>
            <w:r>
              <w:rPr>
                <w:rFonts w:hint="eastAsia"/>
                <w:color w:val="auto"/>
              </w:rPr>
              <w:t>2</w:t>
            </w:r>
          </w:p>
        </w:tc>
        <w:tc>
          <w:tcPr>
            <w:tcW w:w="6717" w:type="dxa"/>
            <w:gridSpan w:val="2"/>
            <w:vAlign w:val="center"/>
          </w:tcPr>
          <w:p>
            <w:pPr>
              <w:jc w:val="left"/>
              <w:rPr>
                <w:rFonts w:cs="宋体"/>
                <w:color w:val="auto"/>
                <w:sz w:val="24"/>
              </w:rPr>
            </w:pPr>
            <w:r>
              <w:rPr>
                <w:rFonts w:hint="eastAsia" w:cs="宋体"/>
                <w:color w:val="auto"/>
                <w:sz w:val="24"/>
              </w:rPr>
              <w:t>具备国家级高新技术企业证书得</w:t>
            </w:r>
            <w:r>
              <w:rPr>
                <w:rFonts w:cs="宋体"/>
                <w:color w:val="auto"/>
                <w:sz w:val="24"/>
              </w:rPr>
              <w:t>3</w:t>
            </w:r>
            <w:r>
              <w:rPr>
                <w:rFonts w:hint="eastAsia" w:cs="宋体"/>
                <w:color w:val="auto"/>
                <w:sz w:val="24"/>
              </w:rPr>
              <w:t>分；</w:t>
            </w:r>
          </w:p>
          <w:p>
            <w:pPr>
              <w:jc w:val="left"/>
              <w:rPr>
                <w:rFonts w:cs="宋体"/>
                <w:color w:val="auto"/>
                <w:sz w:val="24"/>
              </w:rPr>
            </w:pPr>
            <w:r>
              <w:rPr>
                <w:rFonts w:hint="eastAsia" w:cs="宋体"/>
                <w:color w:val="auto"/>
                <w:sz w:val="24"/>
              </w:rPr>
              <w:t>获得有废气净化处理光催化氧化材料发明专利证书或者其他废气净化处理技术相关发明专利证书得</w:t>
            </w:r>
            <w:r>
              <w:rPr>
                <w:rFonts w:cs="宋体"/>
                <w:color w:val="auto"/>
                <w:sz w:val="24"/>
              </w:rPr>
              <w:t>3</w:t>
            </w:r>
            <w:r>
              <w:rPr>
                <w:rFonts w:hint="eastAsia" w:cs="宋体"/>
                <w:color w:val="auto"/>
                <w:sz w:val="24"/>
              </w:rPr>
              <w:t>分；</w:t>
            </w:r>
          </w:p>
          <w:p>
            <w:pPr>
              <w:jc w:val="left"/>
              <w:rPr>
                <w:rFonts w:cs="宋体"/>
                <w:color w:val="auto"/>
                <w:sz w:val="24"/>
              </w:rPr>
            </w:pPr>
            <w:r>
              <w:rPr>
                <w:rFonts w:hint="eastAsia" w:cs="宋体"/>
                <w:color w:val="auto"/>
                <w:sz w:val="24"/>
              </w:rPr>
              <w:t>具备环境工程设计证书得3分；</w:t>
            </w:r>
          </w:p>
          <w:p>
            <w:pPr>
              <w:jc w:val="left"/>
              <w:rPr>
                <w:rFonts w:cs="宋体"/>
                <w:color w:val="auto"/>
                <w:sz w:val="24"/>
              </w:rPr>
            </w:pPr>
            <w:r>
              <w:rPr>
                <w:rFonts w:hint="eastAsia" w:cs="宋体"/>
                <w:color w:val="auto"/>
                <w:sz w:val="24"/>
              </w:rPr>
              <w:t>中国环保节能产品证书</w:t>
            </w:r>
            <w:r>
              <w:rPr>
                <w:rFonts w:cs="宋体"/>
                <w:color w:val="auto"/>
                <w:sz w:val="24"/>
              </w:rPr>
              <w:t xml:space="preserve"> </w:t>
            </w:r>
            <w:r>
              <w:rPr>
                <w:rFonts w:hint="eastAsia" w:cs="宋体"/>
                <w:color w:val="auto"/>
                <w:sz w:val="24"/>
              </w:rPr>
              <w:t>得3分</w:t>
            </w:r>
          </w:p>
          <w:p>
            <w:pPr>
              <w:jc w:val="left"/>
              <w:rPr>
                <w:rFonts w:cs="宋体"/>
                <w:color w:val="auto"/>
                <w:sz w:val="24"/>
              </w:rPr>
            </w:pPr>
            <w:r>
              <w:rPr>
                <w:rFonts w:hint="eastAsia" w:cs="宋体"/>
                <w:color w:val="auto"/>
                <w:sz w:val="24"/>
              </w:rPr>
              <w:t>上述材料需在投标文件中提供复印件</w:t>
            </w:r>
            <w:r>
              <w:rPr>
                <w:rFonts w:hint="eastAsia" w:cs="宋体"/>
                <w:color w:val="auto"/>
                <w:kern w:val="0"/>
                <w:sz w:val="24"/>
              </w:rPr>
              <w:t>（加盖公章）</w:t>
            </w:r>
            <w:r>
              <w:rPr>
                <w:rFonts w:hint="eastAsia" w:cs="宋体"/>
                <w:color w:val="auto"/>
                <w:sz w:val="24"/>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6" w:hRule="atLeast"/>
          <w:jc w:val="center"/>
        </w:trPr>
        <w:tc>
          <w:tcPr>
            <w:tcW w:w="1414" w:type="dxa"/>
            <w:vMerge w:val="continue"/>
            <w:vAlign w:val="center"/>
          </w:tcPr>
          <w:p>
            <w:pPr>
              <w:widowControl/>
              <w:jc w:val="left"/>
              <w:rPr>
                <w:color w:val="auto"/>
              </w:rPr>
            </w:pPr>
          </w:p>
        </w:tc>
        <w:tc>
          <w:tcPr>
            <w:tcW w:w="1323" w:type="dxa"/>
            <w:vAlign w:val="center"/>
          </w:tcPr>
          <w:p>
            <w:pPr>
              <w:jc w:val="center"/>
              <w:rPr>
                <w:color w:val="auto"/>
              </w:rPr>
            </w:pPr>
            <w:r>
              <w:rPr>
                <w:rFonts w:hint="eastAsia"/>
                <w:color w:val="auto"/>
              </w:rPr>
              <w:t>售后服务保障</w:t>
            </w:r>
          </w:p>
        </w:tc>
        <w:tc>
          <w:tcPr>
            <w:tcW w:w="516" w:type="dxa"/>
            <w:vAlign w:val="center"/>
          </w:tcPr>
          <w:p>
            <w:pPr>
              <w:jc w:val="center"/>
              <w:rPr>
                <w:color w:val="auto"/>
              </w:rPr>
            </w:pPr>
            <w:r>
              <w:rPr>
                <w:rFonts w:hint="eastAsia"/>
                <w:color w:val="auto"/>
              </w:rPr>
              <w:t>8</w:t>
            </w:r>
          </w:p>
        </w:tc>
        <w:tc>
          <w:tcPr>
            <w:tcW w:w="6717" w:type="dxa"/>
            <w:gridSpan w:val="2"/>
            <w:vAlign w:val="center"/>
          </w:tcPr>
          <w:p>
            <w:pPr>
              <w:jc w:val="left"/>
              <w:rPr>
                <w:color w:val="auto"/>
                <w:sz w:val="24"/>
              </w:rPr>
            </w:pPr>
            <w:r>
              <w:rPr>
                <w:rFonts w:hint="eastAsia"/>
                <w:color w:val="auto"/>
                <w:sz w:val="24"/>
              </w:rPr>
              <w:t>根据投标人提供的售后服务方案及承诺进行横向比较评分：</w:t>
            </w:r>
          </w:p>
          <w:p>
            <w:pPr>
              <w:jc w:val="left"/>
              <w:rPr>
                <w:rFonts w:hint="eastAsia"/>
                <w:color w:val="auto"/>
                <w:sz w:val="24"/>
              </w:rPr>
            </w:pPr>
            <w:r>
              <w:rPr>
                <w:rFonts w:hint="eastAsia"/>
                <w:color w:val="auto"/>
                <w:sz w:val="24"/>
              </w:rPr>
              <w:t>1.售后服务方案：维修保障方案具体，可操作性强计4分；方案较具体，可操作性较强计3分，方案可操作性一般计2分，无售后服务方案计0分；</w:t>
            </w:r>
          </w:p>
          <w:p>
            <w:pPr>
              <w:jc w:val="left"/>
              <w:rPr>
                <w:color w:val="auto"/>
                <w:sz w:val="24"/>
              </w:rPr>
            </w:pPr>
            <w:r>
              <w:rPr>
                <w:rFonts w:hint="eastAsia"/>
                <w:color w:val="auto"/>
                <w:sz w:val="24"/>
              </w:rPr>
              <w:t>2.优惠条件服务承诺，包括售后服务优惠措施、质保期限以及质保期后服务优惠方案等，优秀4分，良好3分，一般2分，无任何优惠服务承诺计0分。</w:t>
            </w:r>
          </w:p>
        </w:tc>
      </w:tr>
    </w:tbl>
    <w:p>
      <w:pPr>
        <w:tabs>
          <w:tab w:val="left" w:pos="0"/>
        </w:tabs>
        <w:adjustRightInd w:val="0"/>
        <w:snapToGrid w:val="0"/>
        <w:spacing w:line="360" w:lineRule="exact"/>
        <w:ind w:firstLine="201" w:firstLineChars="200"/>
        <w:rPr>
          <w:rFonts w:ascii="仿宋_GB2312" w:eastAsia="仿宋_GB2312"/>
          <w:b/>
          <w:color w:val="auto"/>
          <w:sz w:val="10"/>
          <w:szCs w:val="10"/>
        </w:rPr>
        <w:sectPr>
          <w:pgSz w:w="11906" w:h="16838"/>
          <w:pgMar w:top="907" w:right="1588" w:bottom="1219" w:left="968" w:header="567" w:footer="454" w:gutter="0"/>
          <w:paperSrc w:first="1" w:other="1"/>
          <w:cols w:space="720" w:num="1"/>
          <w:docGrid w:linePitch="312" w:charSpace="0"/>
        </w:sectPr>
      </w:pPr>
    </w:p>
    <w:p>
      <w:pPr>
        <w:pStyle w:val="4"/>
        <w:numPr>
          <w:ilvl w:val="0"/>
          <w:numId w:val="6"/>
        </w:numPr>
        <w:adjustRightInd/>
        <w:spacing w:beforeLines="100" w:after="0" w:line="360" w:lineRule="exact"/>
        <w:textAlignment w:val="auto"/>
        <w:rPr>
          <w:rFonts w:ascii="宋体" w:hAnsi="宋体"/>
          <w:color w:val="auto"/>
          <w:sz w:val="24"/>
        </w:rPr>
      </w:pPr>
      <w:bookmarkStart w:id="164" w:name="_Toc384934468"/>
      <w:r>
        <w:rPr>
          <w:rFonts w:hint="eastAsia" w:ascii="宋体" w:hAnsi="宋体"/>
          <w:color w:val="auto"/>
          <w:sz w:val="24"/>
        </w:rPr>
        <w:t>评标过程保密</w:t>
      </w:r>
      <w:bookmarkEnd w:id="160"/>
      <w:bookmarkEnd w:id="161"/>
      <w:bookmarkEnd w:id="162"/>
      <w:bookmarkEnd w:id="163"/>
      <w:bookmarkEnd w:id="164"/>
    </w:p>
    <w:p>
      <w:pPr>
        <w:numPr>
          <w:ilvl w:val="1"/>
          <w:numId w:val="52"/>
        </w:numPr>
        <w:spacing w:beforeLines="50" w:line="320" w:lineRule="exact"/>
        <w:rPr>
          <w:rFonts w:ascii="宋体" w:hAnsi="宋体"/>
          <w:color w:val="auto"/>
          <w:szCs w:val="21"/>
        </w:rPr>
      </w:pPr>
      <w:r>
        <w:rPr>
          <w:rFonts w:hint="eastAsia" w:ascii="宋体" w:hAnsi="宋体"/>
          <w:bCs/>
          <w:color w:val="auto"/>
          <w:szCs w:val="21"/>
        </w:rPr>
        <w:tab/>
      </w:r>
      <w:r>
        <w:rPr>
          <w:rFonts w:hint="eastAsia" w:ascii="宋体" w:hAnsi="宋体"/>
          <w:color w:val="auto"/>
          <w:szCs w:val="21"/>
        </w:rPr>
        <w:t>开标之后，直到授予投标人合同止，凡是属于审查、澄清、评价和比较投标的有关资料以及授标意向等，均不得向投标人或其它无关的人员透露。</w:t>
      </w:r>
    </w:p>
    <w:p>
      <w:pPr>
        <w:numPr>
          <w:ilvl w:val="1"/>
          <w:numId w:val="52"/>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在评标期间，投标人企图影响招标人的任何活动，将导致投标被拒绝，并承担相应的法律责任。为此招标人有权不退还其投标保证金。</w:t>
      </w:r>
    </w:p>
    <w:p>
      <w:pPr>
        <w:pStyle w:val="3"/>
        <w:numPr>
          <w:ilvl w:val="0"/>
          <w:numId w:val="5"/>
        </w:numPr>
        <w:adjustRightInd/>
        <w:spacing w:beforeLines="150" w:afterLines="50" w:line="360" w:lineRule="exact"/>
        <w:jc w:val="center"/>
        <w:textAlignment w:val="auto"/>
        <w:rPr>
          <w:rFonts w:ascii="宋体" w:hAnsi="宋体" w:eastAsia="宋体"/>
          <w:color w:val="auto"/>
          <w:sz w:val="30"/>
          <w:szCs w:val="30"/>
        </w:rPr>
      </w:pPr>
      <w:bookmarkStart w:id="165" w:name="_Toc193643717"/>
      <w:bookmarkStart w:id="166" w:name="_Toc261206980"/>
      <w:bookmarkStart w:id="167" w:name="_Toc384934469"/>
      <w:r>
        <w:rPr>
          <w:rFonts w:hint="eastAsia" w:ascii="宋体" w:hAnsi="宋体" w:eastAsia="宋体"/>
          <w:color w:val="auto"/>
          <w:sz w:val="30"/>
          <w:szCs w:val="30"/>
        </w:rPr>
        <w:t>定　标</w:t>
      </w:r>
      <w:bookmarkEnd w:id="165"/>
      <w:bookmarkEnd w:id="166"/>
      <w:bookmarkEnd w:id="167"/>
    </w:p>
    <w:p>
      <w:pPr>
        <w:pStyle w:val="4"/>
        <w:numPr>
          <w:ilvl w:val="0"/>
          <w:numId w:val="6"/>
        </w:numPr>
        <w:adjustRightInd/>
        <w:spacing w:beforeLines="100" w:after="0" w:line="360" w:lineRule="exact"/>
        <w:textAlignment w:val="auto"/>
        <w:rPr>
          <w:rFonts w:ascii="宋体" w:hAnsi="宋体"/>
          <w:color w:val="auto"/>
          <w:sz w:val="24"/>
        </w:rPr>
      </w:pPr>
      <w:bookmarkStart w:id="168" w:name="_Toc261206981"/>
      <w:bookmarkStart w:id="169" w:name="_Toc193643718"/>
      <w:r>
        <w:rPr>
          <w:rFonts w:hint="eastAsia" w:ascii="宋体" w:hAnsi="宋体"/>
          <w:color w:val="auto"/>
          <w:sz w:val="24"/>
        </w:rPr>
        <w:tab/>
      </w:r>
      <w:bookmarkStart w:id="170" w:name="_Toc384934470"/>
      <w:r>
        <w:rPr>
          <w:rFonts w:hint="eastAsia" w:ascii="宋体" w:hAnsi="宋体"/>
          <w:color w:val="auto"/>
          <w:sz w:val="24"/>
        </w:rPr>
        <w:t>推荐中标候选供应商</w:t>
      </w:r>
      <w:bookmarkEnd w:id="168"/>
      <w:bookmarkEnd w:id="169"/>
      <w:bookmarkEnd w:id="170"/>
    </w:p>
    <w:p>
      <w:pPr>
        <w:numPr>
          <w:ilvl w:val="1"/>
          <w:numId w:val="53"/>
        </w:numPr>
        <w:spacing w:beforeLines="50" w:line="320" w:lineRule="exact"/>
        <w:rPr>
          <w:rFonts w:ascii="宋体" w:hAnsi="宋体"/>
          <w:color w:val="auto"/>
          <w:szCs w:val="21"/>
        </w:rPr>
      </w:pPr>
      <w:r>
        <w:rPr>
          <w:rFonts w:hint="eastAsia" w:ascii="宋体" w:hAnsi="宋体"/>
          <w:color w:val="auto"/>
          <w:szCs w:val="21"/>
        </w:rPr>
        <w:t>评标委员会依据本须知第五款及第六款规定进行评审和作出评标报告，并推荐中标候选供应商或确定预中标供应商。本次招标不承诺最低投标价中标。</w:t>
      </w:r>
    </w:p>
    <w:p>
      <w:pPr>
        <w:pStyle w:val="4"/>
        <w:numPr>
          <w:ilvl w:val="0"/>
          <w:numId w:val="6"/>
        </w:numPr>
        <w:adjustRightInd/>
        <w:spacing w:beforeLines="100" w:after="0" w:line="360" w:lineRule="exact"/>
        <w:textAlignment w:val="auto"/>
        <w:rPr>
          <w:rFonts w:ascii="宋体" w:hAnsi="宋体"/>
          <w:color w:val="auto"/>
          <w:sz w:val="24"/>
        </w:rPr>
      </w:pPr>
      <w:bookmarkStart w:id="171" w:name="_Toc261206982"/>
      <w:bookmarkStart w:id="172" w:name="_Toc193643719"/>
      <w:r>
        <w:rPr>
          <w:rFonts w:hint="eastAsia" w:ascii="宋体" w:hAnsi="宋体"/>
          <w:color w:val="auto"/>
          <w:sz w:val="24"/>
        </w:rPr>
        <w:tab/>
      </w:r>
      <w:bookmarkStart w:id="173" w:name="_Toc384934471"/>
      <w:r>
        <w:rPr>
          <w:rFonts w:hint="eastAsia" w:ascii="宋体" w:hAnsi="宋体"/>
          <w:color w:val="auto"/>
          <w:sz w:val="24"/>
        </w:rPr>
        <w:t>评标报告</w:t>
      </w:r>
      <w:bookmarkEnd w:id="171"/>
      <w:bookmarkEnd w:id="172"/>
      <w:bookmarkEnd w:id="173"/>
    </w:p>
    <w:p>
      <w:pPr>
        <w:numPr>
          <w:ilvl w:val="1"/>
          <w:numId w:val="54"/>
        </w:numPr>
        <w:spacing w:beforeLines="50" w:line="320" w:lineRule="exact"/>
        <w:rPr>
          <w:rFonts w:ascii="宋体" w:hAnsi="宋体"/>
          <w:color w:val="auto"/>
          <w:szCs w:val="21"/>
        </w:rPr>
      </w:pPr>
      <w:r>
        <w:rPr>
          <w:rFonts w:hint="eastAsia" w:ascii="宋体" w:hAnsi="宋体"/>
          <w:color w:val="auto"/>
          <w:szCs w:val="21"/>
        </w:rPr>
        <w:t>评标报告是评标委员会根据全体评标成员签字的原始评标记录和评标结果编写的报告，并由评标委员会全体成员签字。</w:t>
      </w:r>
    </w:p>
    <w:p>
      <w:pPr>
        <w:pStyle w:val="4"/>
        <w:numPr>
          <w:ilvl w:val="0"/>
          <w:numId w:val="6"/>
        </w:numPr>
        <w:adjustRightInd/>
        <w:spacing w:beforeLines="100" w:after="0" w:line="360" w:lineRule="exact"/>
        <w:textAlignment w:val="auto"/>
        <w:rPr>
          <w:rFonts w:ascii="宋体" w:hAnsi="宋体"/>
          <w:color w:val="auto"/>
          <w:sz w:val="24"/>
        </w:rPr>
      </w:pPr>
      <w:bookmarkStart w:id="174" w:name="_Toc261206983"/>
      <w:bookmarkStart w:id="175" w:name="_Toc384934472"/>
      <w:bookmarkStart w:id="176" w:name="_Toc193643720"/>
      <w:r>
        <w:rPr>
          <w:rFonts w:hint="eastAsia" w:ascii="宋体" w:hAnsi="宋体"/>
          <w:color w:val="auto"/>
          <w:sz w:val="24"/>
        </w:rPr>
        <w:t>中标公告</w:t>
      </w:r>
      <w:bookmarkEnd w:id="174"/>
      <w:bookmarkEnd w:id="175"/>
      <w:bookmarkEnd w:id="176"/>
    </w:p>
    <w:p>
      <w:pPr>
        <w:numPr>
          <w:ilvl w:val="1"/>
          <w:numId w:val="55"/>
        </w:numPr>
        <w:spacing w:beforeLines="50" w:line="320" w:lineRule="exact"/>
        <w:rPr>
          <w:rFonts w:ascii="宋体" w:hAnsi="宋体"/>
          <w:color w:val="auto"/>
          <w:szCs w:val="21"/>
        </w:rPr>
      </w:pPr>
      <w:r>
        <w:rPr>
          <w:rFonts w:hint="eastAsia" w:ascii="宋体" w:hAnsi="宋体"/>
          <w:bCs/>
          <w:color w:val="auto"/>
          <w:szCs w:val="21"/>
        </w:rPr>
        <w:tab/>
      </w:r>
      <w:r>
        <w:rPr>
          <w:rFonts w:hint="eastAsia" w:ascii="宋体" w:hAnsi="宋体"/>
          <w:color w:val="auto"/>
          <w:szCs w:val="21"/>
        </w:rPr>
        <w:t>中标供应商确定后，招标人将在湖南工程学院官网上发布中标公告。供应商如对评标结果有异议，应当在中标公告发布之日起五天内，以书面形式向招标人提出质疑。若在公示期内未提出异议，视为认同。</w:t>
      </w:r>
    </w:p>
    <w:p>
      <w:pPr>
        <w:numPr>
          <w:ilvl w:val="1"/>
          <w:numId w:val="55"/>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质疑投诉人应保证质疑投诉内容的真实性和可靠性，并承担相应法律责任。</w:t>
      </w:r>
    </w:p>
    <w:p>
      <w:pPr>
        <w:pStyle w:val="4"/>
        <w:numPr>
          <w:ilvl w:val="0"/>
          <w:numId w:val="6"/>
        </w:numPr>
        <w:adjustRightInd/>
        <w:spacing w:beforeLines="100" w:after="0" w:line="360" w:lineRule="exact"/>
        <w:textAlignment w:val="auto"/>
        <w:rPr>
          <w:rFonts w:ascii="宋体" w:hAnsi="宋体"/>
          <w:color w:val="auto"/>
          <w:sz w:val="24"/>
        </w:rPr>
      </w:pPr>
      <w:bookmarkStart w:id="177" w:name="_Toc193643721"/>
      <w:bookmarkStart w:id="178" w:name="_Toc261206984"/>
      <w:r>
        <w:rPr>
          <w:rFonts w:hint="eastAsia" w:ascii="宋体" w:hAnsi="宋体"/>
          <w:color w:val="auto"/>
          <w:sz w:val="24"/>
        </w:rPr>
        <w:tab/>
      </w:r>
      <w:bookmarkStart w:id="179" w:name="_Toc384934473"/>
      <w:r>
        <w:rPr>
          <w:rFonts w:hint="eastAsia" w:ascii="宋体" w:hAnsi="宋体"/>
          <w:color w:val="auto"/>
          <w:sz w:val="24"/>
        </w:rPr>
        <w:t>中标通知</w:t>
      </w:r>
      <w:bookmarkEnd w:id="177"/>
      <w:bookmarkEnd w:id="178"/>
      <w:bookmarkEnd w:id="179"/>
    </w:p>
    <w:p>
      <w:pPr>
        <w:numPr>
          <w:ilvl w:val="1"/>
          <w:numId w:val="56"/>
        </w:numPr>
        <w:spacing w:beforeLines="50" w:line="320" w:lineRule="exact"/>
        <w:rPr>
          <w:rFonts w:ascii="宋体" w:hAnsi="宋体"/>
          <w:color w:val="auto"/>
          <w:szCs w:val="21"/>
        </w:rPr>
      </w:pPr>
      <w:r>
        <w:rPr>
          <w:rFonts w:hint="eastAsia" w:ascii="宋体" w:hAnsi="宋体"/>
          <w:bCs/>
          <w:color w:val="auto"/>
          <w:szCs w:val="21"/>
        </w:rPr>
        <w:tab/>
      </w:r>
      <w:r>
        <w:rPr>
          <w:rFonts w:hint="eastAsia" w:ascii="宋体" w:hAnsi="宋体"/>
          <w:color w:val="auto"/>
          <w:szCs w:val="21"/>
        </w:rPr>
        <w:t>评标结束确定中标结果后，经公示无异议后，签发《中标通知书》，发出时间不超过投标有效期。《中标通知书》一经发出，即发生法律效力。</w:t>
      </w:r>
    </w:p>
    <w:p>
      <w:pPr>
        <w:numPr>
          <w:ilvl w:val="1"/>
          <w:numId w:val="56"/>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中标通知书是合同的重要组成部分,对采购人和中标候选人具有同等法律效力。</w:t>
      </w:r>
    </w:p>
    <w:p>
      <w:pPr>
        <w:pStyle w:val="3"/>
        <w:numPr>
          <w:ilvl w:val="0"/>
          <w:numId w:val="5"/>
        </w:numPr>
        <w:adjustRightInd/>
        <w:spacing w:beforeLines="150" w:afterLines="50" w:line="360" w:lineRule="exact"/>
        <w:jc w:val="center"/>
        <w:textAlignment w:val="auto"/>
        <w:rPr>
          <w:rFonts w:ascii="宋体" w:hAnsi="宋体" w:eastAsia="宋体"/>
          <w:color w:val="auto"/>
          <w:sz w:val="30"/>
          <w:szCs w:val="30"/>
        </w:rPr>
      </w:pPr>
      <w:bookmarkStart w:id="180" w:name="_Toc103569390"/>
      <w:bookmarkStart w:id="181" w:name="_Toc261206985"/>
      <w:bookmarkStart w:id="182" w:name="_Toc384934474"/>
      <w:bookmarkStart w:id="183" w:name="_Toc193643722"/>
      <w:bookmarkStart w:id="184" w:name="_Toc134155435"/>
      <w:r>
        <w:rPr>
          <w:rFonts w:hint="eastAsia" w:ascii="宋体" w:hAnsi="宋体" w:eastAsia="宋体"/>
          <w:color w:val="auto"/>
          <w:sz w:val="30"/>
          <w:szCs w:val="30"/>
        </w:rPr>
        <w:t>授予合同</w:t>
      </w:r>
      <w:bookmarkEnd w:id="180"/>
      <w:bookmarkEnd w:id="181"/>
      <w:bookmarkEnd w:id="182"/>
      <w:bookmarkEnd w:id="183"/>
      <w:bookmarkEnd w:id="184"/>
    </w:p>
    <w:p>
      <w:pPr>
        <w:pStyle w:val="4"/>
        <w:numPr>
          <w:ilvl w:val="0"/>
          <w:numId w:val="6"/>
        </w:numPr>
        <w:adjustRightInd/>
        <w:spacing w:beforeLines="100" w:after="0" w:line="360" w:lineRule="exact"/>
        <w:textAlignment w:val="auto"/>
        <w:rPr>
          <w:rFonts w:ascii="宋体" w:hAnsi="宋体"/>
          <w:color w:val="auto"/>
          <w:sz w:val="24"/>
        </w:rPr>
      </w:pPr>
      <w:bookmarkStart w:id="185" w:name="_Toc261206986"/>
      <w:bookmarkStart w:id="186" w:name="_Toc193643723"/>
      <w:r>
        <w:rPr>
          <w:rFonts w:hint="eastAsia" w:ascii="宋体" w:hAnsi="宋体"/>
          <w:color w:val="auto"/>
          <w:sz w:val="24"/>
        </w:rPr>
        <w:tab/>
      </w:r>
      <w:bookmarkStart w:id="187" w:name="_Toc384934475"/>
      <w:r>
        <w:rPr>
          <w:rFonts w:hint="eastAsia" w:ascii="宋体" w:hAnsi="宋体"/>
          <w:color w:val="auto"/>
          <w:sz w:val="24"/>
        </w:rPr>
        <w:t>合同授予标准</w:t>
      </w:r>
      <w:bookmarkEnd w:id="185"/>
      <w:bookmarkEnd w:id="186"/>
      <w:bookmarkEnd w:id="187"/>
    </w:p>
    <w:p>
      <w:pPr>
        <w:numPr>
          <w:ilvl w:val="1"/>
          <w:numId w:val="57"/>
        </w:numPr>
        <w:spacing w:beforeLines="50" w:line="320" w:lineRule="exact"/>
        <w:rPr>
          <w:rFonts w:ascii="宋体" w:hAnsi="宋体"/>
          <w:color w:val="auto"/>
          <w:szCs w:val="21"/>
        </w:rPr>
      </w:pPr>
      <w:r>
        <w:rPr>
          <w:rFonts w:hint="eastAsia" w:ascii="宋体" w:hAnsi="宋体"/>
          <w:bCs/>
          <w:color w:val="auto"/>
          <w:szCs w:val="21"/>
        </w:rPr>
        <w:tab/>
      </w:r>
      <w:r>
        <w:rPr>
          <w:rFonts w:hint="eastAsia" w:ascii="宋体" w:hAnsi="宋体"/>
          <w:color w:val="auto"/>
          <w:szCs w:val="21"/>
        </w:rPr>
        <w:t>项目采购合同将授予按本须知七所确定的中标供应商。</w:t>
      </w:r>
    </w:p>
    <w:p>
      <w:pPr>
        <w:numPr>
          <w:ilvl w:val="1"/>
          <w:numId w:val="57"/>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无正当理由，采购人不得拒绝任何投标人的有效投标。</w:t>
      </w:r>
    </w:p>
    <w:p>
      <w:pPr>
        <w:numPr>
          <w:ilvl w:val="1"/>
          <w:numId w:val="57"/>
        </w:numPr>
        <w:spacing w:beforeLines="50" w:line="320" w:lineRule="exact"/>
        <w:rPr>
          <w:rFonts w:ascii="宋体" w:hAnsi="宋体"/>
          <w:color w:val="auto"/>
          <w:szCs w:val="21"/>
        </w:rPr>
      </w:pPr>
      <w:bookmarkStart w:id="188" w:name="_Toc103569393"/>
      <w:bookmarkStart w:id="189" w:name="_Toc134155438"/>
      <w:r>
        <w:rPr>
          <w:rFonts w:hint="eastAsia" w:ascii="宋体" w:hAnsi="宋体"/>
          <w:color w:val="auto"/>
          <w:szCs w:val="21"/>
        </w:rPr>
        <w:tab/>
      </w:r>
      <w:bookmarkEnd w:id="188"/>
      <w:bookmarkEnd w:id="189"/>
      <w:r>
        <w:rPr>
          <w:rFonts w:hint="eastAsia" w:ascii="宋体" w:hAnsi="宋体"/>
          <w:color w:val="auto"/>
          <w:szCs w:val="21"/>
        </w:rPr>
        <w:t>招标人在授予中标供应商合同时有权变更中标货物的数量和服务的内容。</w:t>
      </w:r>
    </w:p>
    <w:p>
      <w:pPr>
        <w:pStyle w:val="4"/>
        <w:numPr>
          <w:ilvl w:val="0"/>
          <w:numId w:val="6"/>
        </w:numPr>
        <w:adjustRightInd/>
        <w:spacing w:beforeLines="100" w:after="0" w:line="360" w:lineRule="exact"/>
        <w:textAlignment w:val="auto"/>
        <w:rPr>
          <w:rFonts w:ascii="宋体" w:hAnsi="宋体"/>
          <w:color w:val="auto"/>
          <w:sz w:val="24"/>
        </w:rPr>
      </w:pPr>
      <w:bookmarkStart w:id="190" w:name="_Toc193643724"/>
      <w:bookmarkStart w:id="191" w:name="_Toc261206987"/>
      <w:r>
        <w:rPr>
          <w:rFonts w:hint="eastAsia" w:ascii="宋体" w:hAnsi="宋体"/>
          <w:color w:val="auto"/>
          <w:sz w:val="24"/>
        </w:rPr>
        <w:tab/>
      </w:r>
      <w:bookmarkStart w:id="192" w:name="_Toc384934476"/>
      <w:r>
        <w:rPr>
          <w:rFonts w:hint="eastAsia" w:ascii="宋体" w:hAnsi="宋体"/>
          <w:color w:val="auto"/>
          <w:sz w:val="24"/>
        </w:rPr>
        <w:t>最终审查</w:t>
      </w:r>
      <w:bookmarkEnd w:id="190"/>
      <w:bookmarkEnd w:id="191"/>
      <w:bookmarkEnd w:id="192"/>
    </w:p>
    <w:p>
      <w:pPr>
        <w:pStyle w:val="18"/>
        <w:adjustRightInd w:val="0"/>
        <w:snapToGrid w:val="0"/>
        <w:spacing w:line="380" w:lineRule="atLeast"/>
        <w:ind w:left="680" w:leftChars="324"/>
        <w:rPr>
          <w:rFonts w:ascii="宋体" w:hAnsi="宋体"/>
          <w:bCs/>
          <w:color w:val="auto"/>
          <w:sz w:val="21"/>
          <w:szCs w:val="21"/>
        </w:rPr>
      </w:pPr>
      <w:r>
        <w:rPr>
          <w:rFonts w:hint="eastAsia" w:ascii="宋体" w:hAnsi="宋体"/>
          <w:bCs/>
          <w:color w:val="auto"/>
          <w:sz w:val="21"/>
          <w:szCs w:val="21"/>
        </w:rPr>
        <w:t>在签订合同之前招标人有权对中标供应商进行最终审查</w:t>
      </w:r>
    </w:p>
    <w:p>
      <w:pPr>
        <w:numPr>
          <w:ilvl w:val="1"/>
          <w:numId w:val="58"/>
        </w:numPr>
        <w:spacing w:beforeLines="50" w:line="320" w:lineRule="exact"/>
        <w:rPr>
          <w:rFonts w:ascii="宋体" w:hAnsi="宋体"/>
          <w:color w:val="auto"/>
          <w:szCs w:val="21"/>
        </w:rPr>
      </w:pPr>
      <w:r>
        <w:rPr>
          <w:rFonts w:hint="eastAsia" w:ascii="宋体" w:hAnsi="宋体"/>
          <w:bCs/>
          <w:color w:val="auto"/>
          <w:szCs w:val="21"/>
        </w:rPr>
        <w:tab/>
      </w:r>
      <w:r>
        <w:rPr>
          <w:rFonts w:hint="eastAsia" w:ascii="宋体" w:hAnsi="宋体"/>
          <w:color w:val="auto"/>
          <w:szCs w:val="21"/>
        </w:rPr>
        <w:t>最终审查的对象是招标项目的中标人，即意向授予合同的符合中标条件的投标人。</w:t>
      </w:r>
    </w:p>
    <w:p>
      <w:pPr>
        <w:numPr>
          <w:ilvl w:val="1"/>
          <w:numId w:val="58"/>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最终审查的内容是对预中标人的投标货物性能、技术状况、生产条件、货物质量、投标人资格、信誉以及招标人认为有必要了解的其它问题作进一步的考查。</w:t>
      </w:r>
    </w:p>
    <w:p>
      <w:pPr>
        <w:numPr>
          <w:ilvl w:val="1"/>
          <w:numId w:val="58"/>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最终审查的方式：</w:t>
      </w:r>
    </w:p>
    <w:p>
      <w:pPr>
        <w:numPr>
          <w:ilvl w:val="0"/>
          <w:numId w:val="59"/>
        </w:numPr>
        <w:snapToGrid w:val="0"/>
        <w:spacing w:line="360" w:lineRule="exact"/>
        <w:rPr>
          <w:rFonts w:ascii="宋体" w:hAnsi="宋体"/>
          <w:color w:val="auto"/>
          <w:szCs w:val="21"/>
        </w:rPr>
      </w:pPr>
      <w:r>
        <w:rPr>
          <w:rFonts w:hint="eastAsia" w:ascii="宋体" w:hAnsi="宋体"/>
          <w:color w:val="auto"/>
          <w:szCs w:val="21"/>
        </w:rPr>
        <w:t xml:space="preserve">对中标人进行询问； </w:t>
      </w:r>
    </w:p>
    <w:p>
      <w:pPr>
        <w:numPr>
          <w:ilvl w:val="0"/>
          <w:numId w:val="59"/>
        </w:numPr>
        <w:snapToGrid w:val="0"/>
        <w:spacing w:line="360" w:lineRule="exact"/>
        <w:rPr>
          <w:rFonts w:ascii="宋体" w:hAnsi="宋体"/>
          <w:color w:val="auto"/>
          <w:szCs w:val="21"/>
        </w:rPr>
      </w:pPr>
      <w:r>
        <w:rPr>
          <w:rFonts w:hint="eastAsia" w:ascii="宋体" w:hAnsi="宋体"/>
          <w:color w:val="auto"/>
          <w:szCs w:val="21"/>
        </w:rPr>
        <w:t>对中标人进行实地考察。</w:t>
      </w:r>
    </w:p>
    <w:p>
      <w:pPr>
        <w:numPr>
          <w:ilvl w:val="1"/>
          <w:numId w:val="58"/>
        </w:numPr>
        <w:spacing w:beforeLines="50" w:line="320" w:lineRule="exact"/>
        <w:rPr>
          <w:rFonts w:ascii="宋体" w:hAnsi="宋体"/>
          <w:color w:val="auto"/>
          <w:szCs w:val="21"/>
        </w:rPr>
      </w:pPr>
      <w:r>
        <w:rPr>
          <w:rFonts w:hint="eastAsia" w:ascii="宋体" w:hAnsi="宋体"/>
          <w:bCs/>
          <w:color w:val="auto"/>
          <w:szCs w:val="21"/>
        </w:rPr>
        <w:tab/>
      </w:r>
      <w:r>
        <w:rPr>
          <w:rFonts w:hint="eastAsia" w:ascii="宋体" w:hAnsi="宋体"/>
          <w:color w:val="auto"/>
          <w:szCs w:val="21"/>
        </w:rPr>
        <w:t>接受最终审查的中标人，必须如实回答和受理招标人的询问或考查，并提供所需的有关资料。</w:t>
      </w:r>
    </w:p>
    <w:p>
      <w:pPr>
        <w:pStyle w:val="4"/>
        <w:numPr>
          <w:ilvl w:val="0"/>
          <w:numId w:val="6"/>
        </w:numPr>
        <w:adjustRightInd/>
        <w:spacing w:beforeLines="100" w:after="0" w:line="360" w:lineRule="exact"/>
        <w:textAlignment w:val="auto"/>
        <w:rPr>
          <w:rFonts w:ascii="宋体" w:hAnsi="宋体"/>
          <w:color w:val="auto"/>
          <w:sz w:val="24"/>
        </w:rPr>
      </w:pPr>
      <w:bookmarkStart w:id="193" w:name="_Toc261206988"/>
      <w:bookmarkStart w:id="194" w:name="_Toc193643725"/>
      <w:r>
        <w:rPr>
          <w:rFonts w:hint="eastAsia" w:ascii="宋体" w:hAnsi="宋体"/>
          <w:color w:val="auto"/>
          <w:sz w:val="24"/>
        </w:rPr>
        <w:tab/>
      </w:r>
      <w:bookmarkStart w:id="195" w:name="_Toc384934477"/>
      <w:r>
        <w:rPr>
          <w:rFonts w:hint="eastAsia" w:ascii="宋体" w:hAnsi="宋体"/>
          <w:color w:val="auto"/>
          <w:sz w:val="24"/>
        </w:rPr>
        <w:t>签订合同</w:t>
      </w:r>
      <w:bookmarkEnd w:id="193"/>
      <w:bookmarkEnd w:id="194"/>
      <w:bookmarkEnd w:id="195"/>
    </w:p>
    <w:p>
      <w:pPr>
        <w:numPr>
          <w:ilvl w:val="1"/>
          <w:numId w:val="60"/>
        </w:numPr>
        <w:spacing w:beforeLines="50" w:line="320" w:lineRule="exact"/>
        <w:rPr>
          <w:rFonts w:ascii="宋体" w:hAnsi="宋体"/>
          <w:color w:val="auto"/>
          <w:szCs w:val="21"/>
        </w:rPr>
      </w:pPr>
      <w:r>
        <w:rPr>
          <w:rFonts w:hint="eastAsia" w:ascii="宋体" w:hAnsi="宋体"/>
          <w:bCs/>
          <w:color w:val="auto"/>
          <w:szCs w:val="21"/>
        </w:rPr>
        <w:tab/>
      </w:r>
      <w:r>
        <w:rPr>
          <w:rFonts w:hint="eastAsia" w:ascii="宋体" w:hAnsi="宋体"/>
          <w:color w:val="auto"/>
          <w:szCs w:val="21"/>
        </w:rPr>
        <w:t>采购人应当自中标通知书发出之日起10个工作日内,按照招标文件和投标文件内容与中标候选人签订书面合同。合同应采用本招标文件第三部分规定的合同样本。</w:t>
      </w:r>
    </w:p>
    <w:p>
      <w:pPr>
        <w:numPr>
          <w:ilvl w:val="1"/>
          <w:numId w:val="60"/>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在采购合同履行中，采购人需追加与合同标的相同的货物的，在不改变合同其他条款的前提下，可以与中标人协商签订补充合同，但所有补充合同的采购金额不得超过原合同采购金额的百分之十。</w:t>
      </w:r>
    </w:p>
    <w:p>
      <w:pPr>
        <w:numPr>
          <w:ilvl w:val="1"/>
          <w:numId w:val="60"/>
        </w:num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中标人应当按照合同约定履行义务，完成中标项目。中标人不得向他人转让或分包中标项目。</w:t>
      </w:r>
    </w:p>
    <w:p>
      <w:pPr>
        <w:pStyle w:val="4"/>
        <w:numPr>
          <w:ilvl w:val="0"/>
          <w:numId w:val="6"/>
        </w:numPr>
        <w:adjustRightInd/>
        <w:spacing w:beforeLines="100" w:after="0" w:line="360" w:lineRule="exact"/>
        <w:textAlignment w:val="auto"/>
        <w:rPr>
          <w:rFonts w:ascii="宋体" w:hAnsi="宋体"/>
          <w:color w:val="auto"/>
          <w:sz w:val="24"/>
        </w:rPr>
      </w:pPr>
      <w:bookmarkStart w:id="196" w:name="_Toc261206990"/>
      <w:bookmarkStart w:id="197" w:name="_Toc193643727"/>
      <w:r>
        <w:rPr>
          <w:rFonts w:hint="eastAsia" w:ascii="宋体" w:hAnsi="宋体"/>
          <w:color w:val="auto"/>
          <w:sz w:val="24"/>
        </w:rPr>
        <w:tab/>
      </w:r>
      <w:bookmarkStart w:id="198" w:name="_Toc384934478"/>
      <w:r>
        <w:rPr>
          <w:rFonts w:hint="eastAsia" w:ascii="宋体" w:hAnsi="宋体"/>
          <w:color w:val="auto"/>
          <w:sz w:val="24"/>
        </w:rPr>
        <w:t>招标文件存在歧视性条款</w:t>
      </w:r>
      <w:bookmarkEnd w:id="196"/>
      <w:bookmarkEnd w:id="197"/>
      <w:bookmarkEnd w:id="198"/>
    </w:p>
    <w:p>
      <w:pPr>
        <w:numPr>
          <w:ilvl w:val="1"/>
          <w:numId w:val="61"/>
        </w:numPr>
        <w:spacing w:line="320" w:lineRule="exact"/>
        <w:rPr>
          <w:rFonts w:ascii="宋体" w:hAnsi="宋体"/>
          <w:color w:val="auto"/>
          <w:szCs w:val="21"/>
        </w:rPr>
      </w:pPr>
      <w:bookmarkStart w:id="199" w:name="_Toc103569397"/>
      <w:bookmarkStart w:id="200" w:name="_Toc193643728"/>
      <w:bookmarkStart w:id="201" w:name="_Toc134155442"/>
      <w:r>
        <w:rPr>
          <w:rFonts w:hint="eastAsia" w:ascii="宋体" w:hAnsi="宋体"/>
          <w:color w:val="auto"/>
          <w:szCs w:val="21"/>
        </w:rPr>
        <w:t xml:space="preserve">  投标人对招标文件存在歧视性条款的，应在购买采购文件之日起3个工作日内向招标人质    </w:t>
      </w:r>
    </w:p>
    <w:p>
      <w:pPr>
        <w:spacing w:line="320" w:lineRule="exact"/>
        <w:ind w:left="630" w:leftChars="300"/>
        <w:rPr>
          <w:rFonts w:ascii="宋体" w:hAnsi="宋体"/>
          <w:color w:val="auto"/>
          <w:szCs w:val="21"/>
        </w:rPr>
      </w:pPr>
      <w:r>
        <w:rPr>
          <w:rFonts w:hint="eastAsia" w:ascii="宋体" w:hAnsi="宋体"/>
          <w:color w:val="auto"/>
          <w:szCs w:val="21"/>
        </w:rPr>
        <w:t>疑，若招标人回复不满意可向湖南工程学院招标工作领导小组反映。若无质疑，视同认可招标文件。</w:t>
      </w:r>
    </w:p>
    <w:p>
      <w:pPr>
        <w:pStyle w:val="4"/>
        <w:numPr>
          <w:ilvl w:val="0"/>
          <w:numId w:val="6"/>
        </w:numPr>
        <w:adjustRightInd/>
        <w:spacing w:beforeLines="100" w:after="0" w:line="360" w:lineRule="exact"/>
        <w:textAlignment w:val="auto"/>
        <w:rPr>
          <w:rFonts w:ascii="宋体" w:hAnsi="宋体"/>
          <w:color w:val="auto"/>
          <w:sz w:val="24"/>
        </w:rPr>
      </w:pPr>
      <w:bookmarkStart w:id="202" w:name="_Toc261206991"/>
      <w:r>
        <w:rPr>
          <w:rFonts w:hint="eastAsia" w:ascii="宋体" w:hAnsi="宋体"/>
          <w:color w:val="auto"/>
          <w:sz w:val="24"/>
        </w:rPr>
        <w:tab/>
      </w:r>
      <w:bookmarkStart w:id="203" w:name="_Toc384934479"/>
      <w:r>
        <w:rPr>
          <w:rFonts w:hint="eastAsia" w:ascii="宋体" w:hAnsi="宋体"/>
          <w:color w:val="auto"/>
          <w:sz w:val="24"/>
        </w:rPr>
        <w:t>腐败和欺诈行为</w:t>
      </w:r>
      <w:bookmarkEnd w:id="199"/>
      <w:bookmarkEnd w:id="200"/>
      <w:bookmarkEnd w:id="201"/>
      <w:bookmarkEnd w:id="202"/>
      <w:bookmarkEnd w:id="203"/>
    </w:p>
    <w:p>
      <w:pPr>
        <w:pStyle w:val="18"/>
        <w:adjustRightInd w:val="0"/>
        <w:snapToGrid w:val="0"/>
        <w:spacing w:beforeLines="20" w:afterLines="20" w:line="320" w:lineRule="exact"/>
        <w:ind w:left="680"/>
        <w:rPr>
          <w:rFonts w:ascii="宋体" w:hAnsi="宋体"/>
          <w:bCs/>
          <w:color w:val="auto"/>
          <w:sz w:val="21"/>
          <w:szCs w:val="21"/>
        </w:rPr>
      </w:pPr>
      <w:r>
        <w:rPr>
          <w:rFonts w:hint="eastAsia" w:ascii="宋体" w:hAnsi="宋体"/>
          <w:bCs/>
          <w:color w:val="auto"/>
          <w:sz w:val="21"/>
          <w:szCs w:val="21"/>
        </w:rPr>
        <w:t>本招标形成的合同项下的买方（采购人）和卖方（中标人）在合同执行和实施过程中应遵守以下道德标准。为此目的，定义下述条件：</w:t>
      </w:r>
    </w:p>
    <w:p>
      <w:pPr>
        <w:spacing w:beforeLines="50" w:line="320" w:lineRule="exact"/>
        <w:rPr>
          <w:rFonts w:ascii="宋体" w:hAnsi="宋体"/>
          <w:color w:val="auto"/>
          <w:szCs w:val="21"/>
        </w:rPr>
      </w:pPr>
      <w:r>
        <w:rPr>
          <w:rFonts w:hint="eastAsia" w:ascii="宋体" w:hAnsi="宋体"/>
          <w:bCs/>
          <w:color w:val="auto"/>
          <w:szCs w:val="21"/>
        </w:rPr>
        <w:tab/>
      </w:r>
      <w:r>
        <w:rPr>
          <w:rFonts w:hint="eastAsia" w:ascii="宋体" w:hAnsi="宋体"/>
          <w:bCs/>
          <w:color w:val="auto"/>
          <w:szCs w:val="21"/>
        </w:rPr>
        <w:t xml:space="preserve">40.1 </w:t>
      </w:r>
      <w:r>
        <w:rPr>
          <w:rFonts w:hint="eastAsia" w:ascii="宋体" w:hAnsi="宋体"/>
          <w:color w:val="auto"/>
          <w:szCs w:val="21"/>
        </w:rPr>
        <w:t>“腐败行为”是指通过提供、给予、接受、索取任何有价值的东西来影响采购人员在采购</w:t>
      </w:r>
    </w:p>
    <w:p>
      <w:pPr>
        <w:spacing w:line="320" w:lineRule="exact"/>
        <w:ind w:firstLine="630" w:firstLineChars="300"/>
        <w:rPr>
          <w:rFonts w:ascii="宋体" w:hAnsi="宋体"/>
          <w:color w:val="auto"/>
          <w:szCs w:val="21"/>
        </w:rPr>
      </w:pPr>
      <w:r>
        <w:rPr>
          <w:rFonts w:hint="eastAsia" w:ascii="宋体" w:hAnsi="宋体"/>
          <w:color w:val="auto"/>
          <w:szCs w:val="21"/>
        </w:rPr>
        <w:t>过程中或合同实施过程中的行为。</w:t>
      </w:r>
    </w:p>
    <w:p>
      <w:p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40.2 “欺诈行为”是指为了影响采购过程或合同实施过程而谎报事实，损害买方和公共利益，</w:t>
      </w:r>
    </w:p>
    <w:p>
      <w:pPr>
        <w:spacing w:line="320" w:lineRule="exact"/>
        <w:ind w:left="630" w:leftChars="300"/>
        <w:rPr>
          <w:rFonts w:ascii="宋体" w:hAnsi="宋体"/>
          <w:color w:val="auto"/>
          <w:szCs w:val="21"/>
        </w:rPr>
      </w:pPr>
      <w:r>
        <w:rPr>
          <w:rFonts w:hint="eastAsia" w:ascii="宋体" w:hAnsi="宋体"/>
          <w:color w:val="auto"/>
          <w:szCs w:val="21"/>
        </w:rPr>
        <w:t>包括投标人之间串通投标（递交投标文件之前和之后），人为地使投标丧失竞争性，剥夺了买方从竞争中所获得的利益。</w:t>
      </w:r>
    </w:p>
    <w:p>
      <w:p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40.3  在投标有效期内，投标人没有公开宣示价格调整政策，在采购条件不优于本项目采购人的</w:t>
      </w:r>
    </w:p>
    <w:p>
      <w:pPr>
        <w:spacing w:line="320" w:lineRule="exact"/>
        <w:ind w:firstLine="630" w:firstLineChars="300"/>
        <w:rPr>
          <w:rFonts w:ascii="宋体" w:hAnsi="宋体"/>
          <w:color w:val="auto"/>
          <w:szCs w:val="21"/>
        </w:rPr>
      </w:pPr>
      <w:r>
        <w:rPr>
          <w:rFonts w:hint="eastAsia" w:ascii="宋体" w:hAnsi="宋体"/>
          <w:color w:val="auto"/>
          <w:szCs w:val="21"/>
        </w:rPr>
        <w:t>情况下给予其他采购人更优惠的价格和服务，其行为构成歧视性报价。</w:t>
      </w:r>
    </w:p>
    <w:p>
      <w:pPr>
        <w:spacing w:beforeLines="50" w:line="32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40.4  如被推荐的中标人在本次招标采购的竞争中有腐败和欺诈行为，则被拒绝授予合同。</w:t>
      </w:r>
    </w:p>
    <w:p>
      <w:pPr>
        <w:numPr>
          <w:ilvl w:val="0"/>
          <w:numId w:val="6"/>
        </w:numPr>
        <w:spacing w:beforeLines="50" w:line="320" w:lineRule="exact"/>
        <w:rPr>
          <w:rFonts w:ascii="宋体" w:hAnsi="宋体"/>
          <w:color w:val="auto"/>
          <w:szCs w:val="21"/>
        </w:rPr>
      </w:pPr>
      <w:r>
        <w:rPr>
          <w:rFonts w:hint="eastAsia" w:ascii="宋体" w:hAnsi="宋体"/>
          <w:b/>
          <w:color w:val="auto"/>
          <w:sz w:val="24"/>
        </w:rPr>
        <w:t xml:space="preserve"> 特殊情形的规定：</w:t>
      </w:r>
    </w:p>
    <w:p>
      <w:pPr>
        <w:spacing w:beforeLines="50"/>
        <w:rPr>
          <w:rFonts w:ascii="宋体" w:hAnsi="宋体"/>
          <w:color w:val="auto"/>
          <w:szCs w:val="21"/>
        </w:rPr>
      </w:pPr>
      <w:r>
        <w:rPr>
          <w:rFonts w:hint="eastAsia" w:ascii="宋体" w:hAnsi="宋体"/>
          <w:color w:val="auto"/>
          <w:szCs w:val="21"/>
        </w:rPr>
        <w:t>41.1特殊情形是指：在规定的投标截止时间</w:t>
      </w:r>
      <w:r>
        <w:rPr>
          <w:rFonts w:hint="eastAsia" w:ascii="宋体" w:hAnsi="宋体"/>
          <w:color w:val="auto"/>
          <w:szCs w:val="21"/>
          <w:lang w:val="zh-CN"/>
        </w:rPr>
        <w:t>递交投标文件或者经评审实质性响应招标文件要求的供应商少于三家的情形。</w:t>
      </w:r>
    </w:p>
    <w:p>
      <w:pPr>
        <w:spacing w:beforeLines="50"/>
        <w:rPr>
          <w:rFonts w:ascii="宋体" w:hAnsi="宋体"/>
          <w:color w:val="auto"/>
          <w:szCs w:val="21"/>
          <w:lang w:val="zh-CN"/>
        </w:rPr>
      </w:pPr>
      <w:r>
        <w:rPr>
          <w:rFonts w:hint="eastAsia" w:ascii="宋体" w:hAnsi="宋体"/>
          <w:color w:val="auto"/>
          <w:szCs w:val="21"/>
        </w:rPr>
        <w:t>41.2</w:t>
      </w:r>
      <w:r>
        <w:rPr>
          <w:rFonts w:hint="eastAsia" w:ascii="宋体" w:hAnsi="宋体"/>
          <w:color w:val="auto"/>
          <w:szCs w:val="21"/>
          <w:lang w:val="zh-CN"/>
        </w:rPr>
        <w:t>供应商</w:t>
      </w:r>
      <w:r>
        <w:rPr>
          <w:rFonts w:hint="eastAsia" w:ascii="宋体" w:hAnsi="宋体"/>
          <w:color w:val="auto"/>
          <w:szCs w:val="21"/>
        </w:rPr>
        <w:t>有两家时，</w:t>
      </w:r>
      <w:r>
        <w:rPr>
          <w:rFonts w:hint="eastAsia" w:ascii="宋体" w:hAnsi="宋体"/>
          <w:color w:val="auto"/>
          <w:szCs w:val="21"/>
          <w:lang w:val="zh-CN"/>
        </w:rPr>
        <w:t>报校招标领导小组批准后在不变更供应商资格条件和采购需求的前提下与这两家供应商进行竞争性谈判。</w:t>
      </w:r>
    </w:p>
    <w:p>
      <w:pPr>
        <w:spacing w:beforeLines="50"/>
        <w:rPr>
          <w:rFonts w:ascii="宋体" w:hAnsi="宋体"/>
          <w:color w:val="auto"/>
          <w:szCs w:val="21"/>
        </w:rPr>
      </w:pPr>
      <w:r>
        <w:rPr>
          <w:rFonts w:hint="eastAsia" w:ascii="宋体" w:hAnsi="宋体"/>
          <w:color w:val="auto"/>
          <w:szCs w:val="21"/>
        </w:rPr>
        <w:t>41.3</w:t>
      </w:r>
      <w:r>
        <w:rPr>
          <w:rFonts w:hint="eastAsia" w:ascii="宋体" w:hAnsi="宋体"/>
          <w:color w:val="auto"/>
          <w:szCs w:val="21"/>
          <w:lang w:val="zh-CN"/>
        </w:rPr>
        <w:t>供应商</w:t>
      </w:r>
      <w:r>
        <w:rPr>
          <w:rFonts w:hint="eastAsia" w:ascii="宋体" w:hAnsi="宋体"/>
          <w:color w:val="auto"/>
          <w:szCs w:val="21"/>
        </w:rPr>
        <w:t>少于两家(不含两家)时，重新采购。</w:t>
      </w:r>
    </w:p>
    <w:p>
      <w:pPr>
        <w:spacing w:beforeLines="50"/>
        <w:rPr>
          <w:rFonts w:ascii="宋体" w:hAnsi="宋体"/>
          <w:color w:val="auto"/>
          <w:szCs w:val="21"/>
        </w:rPr>
      </w:pPr>
      <w:r>
        <w:rPr>
          <w:rFonts w:hint="eastAsia" w:ascii="宋体" w:hAnsi="宋体"/>
          <w:color w:val="auto"/>
          <w:szCs w:val="21"/>
        </w:rPr>
        <w:t>41.4谈判；供应商应按谈判小组的书面通知参加谈判、递交最终报价。</w:t>
      </w:r>
    </w:p>
    <w:p>
      <w:pPr>
        <w:spacing w:beforeLines="50"/>
        <w:rPr>
          <w:rFonts w:ascii="宋体" w:hAnsi="宋体"/>
          <w:color w:val="auto"/>
          <w:szCs w:val="21"/>
        </w:rPr>
      </w:pPr>
      <w:r>
        <w:rPr>
          <w:rFonts w:hint="eastAsia" w:ascii="宋体" w:hAnsi="宋体"/>
          <w:color w:val="auto"/>
          <w:szCs w:val="21"/>
        </w:rPr>
        <w:t>41.5评审标准：</w:t>
      </w:r>
    </w:p>
    <w:p>
      <w:pPr>
        <w:pStyle w:val="22"/>
        <w:adjustRightInd w:val="0"/>
        <w:snapToGrid w:val="0"/>
        <w:ind w:firstLine="420" w:firstLineChars="200"/>
        <w:jc w:val="left"/>
        <w:rPr>
          <w:rFonts w:hAnsi="宋体"/>
          <w:color w:val="auto"/>
          <w:szCs w:val="21"/>
        </w:rPr>
      </w:pPr>
      <w:r>
        <w:rPr>
          <w:rFonts w:hint="eastAsia" w:hAnsi="宋体"/>
          <w:color w:val="auto"/>
          <w:szCs w:val="21"/>
        </w:rPr>
        <w:t>（1）按满足采购需求，质量、服务相等且报价最低的原则，确定成交供应商。</w:t>
      </w:r>
    </w:p>
    <w:p>
      <w:pPr>
        <w:pStyle w:val="22"/>
        <w:adjustRightInd w:val="0"/>
        <w:snapToGrid w:val="0"/>
        <w:ind w:firstLine="420" w:firstLineChars="200"/>
        <w:jc w:val="left"/>
        <w:rPr>
          <w:rFonts w:hAnsi="宋体"/>
          <w:color w:val="auto"/>
          <w:szCs w:val="21"/>
        </w:rPr>
      </w:pPr>
      <w:r>
        <w:rPr>
          <w:rFonts w:hint="eastAsia" w:hAnsi="宋体"/>
          <w:color w:val="auto"/>
          <w:szCs w:val="21"/>
        </w:rPr>
        <w:t>（2）评审供应商报价时，按第二章“评标方法及标准”中关于最低评标价法的价格评审的规定评审。</w:t>
      </w:r>
    </w:p>
    <w:p>
      <w:pPr>
        <w:adjustRightInd w:val="0"/>
        <w:snapToGrid w:val="0"/>
        <w:spacing w:line="420" w:lineRule="atLeast"/>
        <w:rPr>
          <w:rFonts w:ascii="宋体" w:hAnsi="宋体"/>
          <w:bCs/>
          <w:color w:val="auto"/>
          <w:sz w:val="24"/>
          <w:szCs w:val="20"/>
        </w:rPr>
        <w:sectPr>
          <w:pgSz w:w="11906" w:h="16838"/>
          <w:pgMar w:top="907" w:right="1588" w:bottom="1219" w:left="1588" w:header="567" w:footer="454" w:gutter="0"/>
          <w:paperSrc w:first="1" w:other="1"/>
          <w:cols w:space="720" w:num="1"/>
          <w:docGrid w:linePitch="312" w:charSpace="0"/>
        </w:sectPr>
      </w:pPr>
    </w:p>
    <w:p>
      <w:pPr>
        <w:pStyle w:val="2"/>
        <w:adjustRightInd/>
        <w:spacing w:line="360" w:lineRule="auto"/>
        <w:ind w:left="113"/>
        <w:jc w:val="center"/>
        <w:textAlignment w:val="auto"/>
        <w:rPr>
          <w:rFonts w:ascii="宋体" w:hAnsi="宋体"/>
          <w:color w:val="auto"/>
        </w:rPr>
      </w:pPr>
      <w:bookmarkStart w:id="204" w:name="_Toc384934480"/>
      <w:r>
        <w:rPr>
          <w:rFonts w:hint="eastAsia" w:ascii="宋体" w:hAnsi="宋体"/>
          <w:color w:val="auto"/>
        </w:rPr>
        <w:t>第三章 合同条款</w:t>
      </w:r>
      <w:bookmarkEnd w:id="204"/>
    </w:p>
    <w:p>
      <w:pPr>
        <w:widowControl/>
        <w:jc w:val="center"/>
        <w:rPr>
          <w:rFonts w:ascii="宋体" w:hAnsi="宋体" w:cs="Arial"/>
          <w:b/>
          <w:color w:val="auto"/>
          <w:kern w:val="0"/>
          <w:sz w:val="44"/>
          <w:szCs w:val="44"/>
        </w:rPr>
      </w:pPr>
      <w:r>
        <w:rPr>
          <w:rFonts w:hint="eastAsia" w:ascii="宋体" w:hAnsi="宋体" w:cs="Arial"/>
          <w:b/>
          <w:color w:val="auto"/>
          <w:kern w:val="0"/>
          <w:sz w:val="44"/>
          <w:szCs w:val="44"/>
        </w:rPr>
        <w:t>湖南工程学院采购项目合同</w:t>
      </w:r>
    </w:p>
    <w:p>
      <w:pPr>
        <w:widowControl/>
        <w:spacing w:line="312" w:lineRule="auto"/>
        <w:jc w:val="right"/>
        <w:rPr>
          <w:rFonts w:ascii="宋体" w:hAnsi="宋体" w:cs="Arial"/>
          <w:color w:val="auto"/>
          <w:kern w:val="0"/>
          <w:sz w:val="18"/>
          <w:szCs w:val="18"/>
        </w:rPr>
      </w:pPr>
    </w:p>
    <w:p>
      <w:pPr>
        <w:adjustRightInd w:val="0"/>
        <w:snapToGrid w:val="0"/>
        <w:spacing w:line="400" w:lineRule="exact"/>
        <w:jc w:val="center"/>
        <w:rPr>
          <w:rFonts w:ascii="宋体" w:hAnsi="宋体"/>
          <w:color w:val="auto"/>
          <w:sz w:val="24"/>
        </w:rPr>
      </w:pPr>
      <w:r>
        <w:rPr>
          <w:rFonts w:hint="eastAsia" w:ascii="宋体" w:hAnsi="宋体"/>
          <w:color w:val="auto"/>
          <w:szCs w:val="21"/>
        </w:rPr>
        <w:t xml:space="preserve">                                   </w:t>
      </w:r>
      <w:r>
        <w:rPr>
          <w:rFonts w:hint="eastAsia" w:ascii="宋体" w:hAnsi="宋体"/>
          <w:color w:val="auto"/>
          <w:spacing w:val="6"/>
          <w:sz w:val="24"/>
        </w:rPr>
        <w:t>合同编号：</w:t>
      </w:r>
      <w:r>
        <w:rPr>
          <w:rFonts w:hint="eastAsia" w:ascii="宋体" w:hAnsi="宋体"/>
          <w:color w:val="auto"/>
          <w:spacing w:val="6"/>
          <w:sz w:val="24"/>
          <w:u w:val="single"/>
        </w:rPr>
        <w:t xml:space="preserve">        </w:t>
      </w:r>
      <w:r>
        <w:rPr>
          <w:rFonts w:hint="eastAsia" w:ascii="宋体" w:hAnsi="宋体"/>
          <w:color w:val="auto"/>
          <w:sz w:val="24"/>
        </w:rPr>
        <w:t xml:space="preserve"> </w:t>
      </w:r>
    </w:p>
    <w:p>
      <w:pPr>
        <w:adjustRightInd w:val="0"/>
        <w:snapToGrid w:val="0"/>
        <w:spacing w:line="320" w:lineRule="exact"/>
        <w:rPr>
          <w:rFonts w:ascii="宋体" w:hAnsi="宋体"/>
          <w:b/>
          <w:color w:val="auto"/>
          <w:sz w:val="30"/>
          <w:szCs w:val="30"/>
        </w:rPr>
      </w:pPr>
      <w:r>
        <w:rPr>
          <w:rFonts w:hint="eastAsia" w:ascii="宋体" w:hAnsi="宋体"/>
          <w:b/>
          <w:color w:val="auto"/>
          <w:sz w:val="30"/>
          <w:szCs w:val="30"/>
        </w:rPr>
        <w:t xml:space="preserve"> </w:t>
      </w:r>
    </w:p>
    <w:p>
      <w:pPr>
        <w:adjustRightInd w:val="0"/>
        <w:snapToGrid w:val="0"/>
        <w:spacing w:line="320" w:lineRule="exact"/>
        <w:rPr>
          <w:rFonts w:ascii="宋体" w:hAnsi="宋体"/>
          <w:b/>
          <w:color w:val="auto"/>
          <w:sz w:val="30"/>
          <w:szCs w:val="30"/>
        </w:rPr>
      </w:pPr>
    </w:p>
    <w:p>
      <w:pPr>
        <w:adjustRightInd w:val="0"/>
        <w:snapToGrid w:val="0"/>
        <w:spacing w:line="500" w:lineRule="exact"/>
        <w:rPr>
          <w:rFonts w:ascii="宋体" w:hAnsi="宋体"/>
          <w:b/>
          <w:color w:val="auto"/>
          <w:sz w:val="30"/>
          <w:szCs w:val="30"/>
        </w:rPr>
      </w:pPr>
      <w:r>
        <w:rPr>
          <w:rFonts w:hint="eastAsia" w:ascii="宋体" w:hAnsi="宋体"/>
          <w:b/>
          <w:bCs/>
          <w:color w:val="auto"/>
          <w:sz w:val="30"/>
          <w:szCs w:val="30"/>
        </w:rPr>
        <w:t>甲方</w:t>
      </w:r>
      <w:r>
        <w:rPr>
          <w:rFonts w:hint="eastAsia" w:ascii="宋体" w:hAnsi="宋体"/>
          <w:b/>
          <w:color w:val="auto"/>
          <w:sz w:val="30"/>
          <w:szCs w:val="30"/>
        </w:rPr>
        <w:t>：</w:t>
      </w:r>
      <w:r>
        <w:rPr>
          <w:rFonts w:hint="eastAsia" w:ascii="宋体" w:hAnsi="宋体"/>
          <w:b/>
          <w:bCs/>
          <w:color w:val="auto"/>
          <w:sz w:val="30"/>
          <w:szCs w:val="30"/>
          <w:u w:val="single"/>
        </w:rPr>
        <w:t>湖南工程学院</w:t>
      </w:r>
      <w:r>
        <w:rPr>
          <w:rFonts w:hint="eastAsia" w:ascii="宋体" w:hAnsi="宋体"/>
          <w:b/>
          <w:bCs/>
          <w:color w:val="auto"/>
          <w:sz w:val="30"/>
          <w:szCs w:val="30"/>
        </w:rPr>
        <w:t>（采购人）</w:t>
      </w:r>
    </w:p>
    <w:p>
      <w:pPr>
        <w:widowControl/>
        <w:spacing w:line="312" w:lineRule="auto"/>
        <w:rPr>
          <w:rFonts w:ascii="宋体" w:hAnsi="宋体" w:cs="Arial"/>
          <w:b/>
          <w:color w:val="auto"/>
          <w:kern w:val="0"/>
          <w:sz w:val="30"/>
          <w:szCs w:val="30"/>
        </w:rPr>
      </w:pPr>
      <w:r>
        <w:rPr>
          <w:rFonts w:hint="eastAsia" w:ascii="宋体" w:hAnsi="宋体"/>
          <w:b/>
          <w:bCs/>
          <w:color w:val="auto"/>
          <w:sz w:val="30"/>
          <w:szCs w:val="30"/>
        </w:rPr>
        <w:t>乙方</w:t>
      </w:r>
      <w:r>
        <w:rPr>
          <w:rFonts w:hint="eastAsia" w:ascii="宋体" w:hAnsi="宋体"/>
          <w:b/>
          <w:color w:val="auto"/>
          <w:sz w:val="30"/>
          <w:szCs w:val="30"/>
        </w:rPr>
        <w:t>：</w:t>
      </w:r>
      <w:r>
        <w:rPr>
          <w:rFonts w:hint="eastAsia" w:ascii="宋体" w:hAnsi="宋体"/>
          <w:b/>
          <w:color w:val="auto"/>
          <w:sz w:val="30"/>
          <w:szCs w:val="30"/>
          <w:u w:val="single"/>
        </w:rPr>
        <w:t xml:space="preserve">                  </w:t>
      </w:r>
      <w:r>
        <w:rPr>
          <w:rFonts w:hint="eastAsia" w:ascii="宋体" w:hAnsi="宋体"/>
          <w:b/>
          <w:color w:val="auto"/>
          <w:sz w:val="30"/>
          <w:szCs w:val="30"/>
        </w:rPr>
        <w:t>（供货商）</w:t>
      </w:r>
    </w:p>
    <w:p>
      <w:pPr>
        <w:widowControl/>
        <w:spacing w:line="360" w:lineRule="auto"/>
        <w:jc w:val="left"/>
        <w:rPr>
          <w:rFonts w:ascii="宋体" w:hAnsi="宋体" w:cs="Arial"/>
          <w:color w:val="auto"/>
          <w:kern w:val="0"/>
          <w:sz w:val="18"/>
          <w:szCs w:val="18"/>
        </w:rPr>
      </w:pPr>
      <w:r>
        <w:rPr>
          <w:rFonts w:hint="eastAsia" w:ascii="宋体" w:hAnsi="宋体" w:cs="Arial"/>
          <w:color w:val="auto"/>
          <w:kern w:val="0"/>
          <w:sz w:val="18"/>
          <w:szCs w:val="18"/>
        </w:rPr>
        <w:t>　　</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为了保护甲、乙双方合法权益，根据《中华人民共和国合同法》、《中华人民共和国政府采购法》及其他有关法律、法规、规章，</w:t>
      </w:r>
      <w:r>
        <w:rPr>
          <w:rFonts w:hint="eastAsia" w:ascii="宋体" w:hAnsi="宋体" w:cs="Arial"/>
          <w:color w:val="auto"/>
          <w:kern w:val="0"/>
          <w:szCs w:val="21"/>
        </w:rPr>
        <w:t>经</w:t>
      </w:r>
      <w:r>
        <w:rPr>
          <w:rFonts w:hint="eastAsia" w:ascii="宋体" w:hAnsi="宋体"/>
          <w:color w:val="auto"/>
          <w:szCs w:val="21"/>
        </w:rPr>
        <w:t>友好协商</w:t>
      </w:r>
      <w:r>
        <w:rPr>
          <w:rFonts w:hint="eastAsia" w:ascii="宋体" w:hAnsi="宋体" w:cs="Arial"/>
          <w:color w:val="auto"/>
          <w:kern w:val="0"/>
          <w:szCs w:val="21"/>
        </w:rPr>
        <w:t>，</w:t>
      </w:r>
      <w:r>
        <w:rPr>
          <w:rFonts w:hint="eastAsia" w:ascii="宋体" w:hAnsi="宋体"/>
          <w:color w:val="auto"/>
          <w:szCs w:val="21"/>
        </w:rPr>
        <w:t>签订本合同协议书（以下简称合同）。</w:t>
      </w:r>
    </w:p>
    <w:p>
      <w:pPr>
        <w:adjustRightInd w:val="0"/>
        <w:snapToGrid w:val="0"/>
        <w:spacing w:line="400" w:lineRule="exact"/>
        <w:rPr>
          <w:rFonts w:ascii="宋体" w:hAnsi="宋体"/>
          <w:b/>
          <w:color w:val="auto"/>
          <w:sz w:val="24"/>
        </w:rPr>
      </w:pPr>
      <w:r>
        <w:rPr>
          <w:rFonts w:hint="eastAsia" w:ascii="宋体" w:hAnsi="宋体"/>
          <w:b/>
          <w:color w:val="auto"/>
          <w:sz w:val="24"/>
        </w:rPr>
        <w:t>一、项目管理信息</w:t>
      </w:r>
    </w:p>
    <w:p>
      <w:pPr>
        <w:adjustRightInd w:val="0"/>
        <w:snapToGrid w:val="0"/>
        <w:spacing w:line="400" w:lineRule="exact"/>
        <w:rPr>
          <w:rFonts w:ascii="宋体" w:hAnsi="宋体"/>
          <w:color w:val="auto"/>
          <w:szCs w:val="21"/>
        </w:rPr>
      </w:pPr>
      <w:r>
        <w:rPr>
          <w:rFonts w:hint="eastAsia" w:ascii="宋体" w:hAnsi="宋体"/>
          <w:color w:val="auto"/>
          <w:szCs w:val="21"/>
        </w:rPr>
        <w:t>1、项目名称：                                    2、招标编号：号</w:t>
      </w:r>
    </w:p>
    <w:p>
      <w:pPr>
        <w:adjustRightInd w:val="0"/>
        <w:snapToGrid w:val="0"/>
        <w:spacing w:line="400" w:lineRule="exact"/>
        <w:rPr>
          <w:rFonts w:ascii="宋体" w:hAnsi="宋体"/>
          <w:color w:val="auto"/>
          <w:szCs w:val="21"/>
        </w:rPr>
      </w:pPr>
      <w:r>
        <w:rPr>
          <w:rFonts w:hint="eastAsia" w:ascii="宋体" w:hAnsi="宋体"/>
          <w:color w:val="auto"/>
          <w:szCs w:val="21"/>
        </w:rPr>
        <w:t>3、采购方式：                                    4、开标时间：2018年月日</w:t>
      </w:r>
    </w:p>
    <w:p>
      <w:pPr>
        <w:spacing w:beforeLines="50" w:line="400" w:lineRule="exact"/>
        <w:rPr>
          <w:rFonts w:ascii="宋体" w:hAnsi="宋体"/>
          <w:b/>
          <w:color w:val="auto"/>
          <w:sz w:val="24"/>
        </w:rPr>
      </w:pPr>
      <w:r>
        <w:rPr>
          <w:rFonts w:hint="eastAsia" w:ascii="宋体" w:hAnsi="宋体"/>
          <w:b/>
          <w:color w:val="auto"/>
          <w:sz w:val="24"/>
        </w:rPr>
        <w:t>二、合同标的及金额</w:t>
      </w:r>
    </w:p>
    <w:tbl>
      <w:tblPr>
        <w:tblStyle w:val="47"/>
        <w:tblW w:w="8973"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437"/>
        <w:gridCol w:w="1446"/>
        <w:gridCol w:w="1332"/>
        <w:gridCol w:w="1260"/>
        <w:gridCol w:w="540"/>
        <w:gridCol w:w="540"/>
        <w:gridCol w:w="859"/>
        <w:gridCol w:w="900"/>
        <w:gridCol w:w="837"/>
        <w:gridCol w:w="82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439" w:hRule="atLeast"/>
          <w:jc w:val="center"/>
        </w:trPr>
        <w:tc>
          <w:tcPr>
            <w:tcW w:w="437" w:type="dxa"/>
            <w:tcBorders>
              <w:top w:val="double" w:color="auto" w:sz="4" w:space="0"/>
              <w:left w:val="double" w:color="auto" w:sz="4" w:space="0"/>
              <w:bottom w:val="single" w:color="000000" w:sz="12" w:space="0"/>
              <w:right w:val="single" w:color="auto" w:sz="4" w:space="0"/>
            </w:tcBorders>
            <w:vAlign w:val="center"/>
          </w:tcPr>
          <w:p>
            <w:pPr>
              <w:adjustRightInd w:val="0"/>
              <w:snapToGrid w:val="0"/>
              <w:spacing w:line="400" w:lineRule="exact"/>
              <w:jc w:val="center"/>
              <w:rPr>
                <w:rFonts w:ascii="宋体" w:hAnsi="宋体"/>
                <w:b/>
                <w:bCs/>
                <w:color w:val="auto"/>
                <w:szCs w:val="21"/>
              </w:rPr>
            </w:pPr>
            <w:r>
              <w:rPr>
                <w:rFonts w:hint="eastAsia" w:ascii="宋体" w:hAnsi="宋体"/>
                <w:b/>
                <w:bCs/>
                <w:color w:val="auto"/>
                <w:szCs w:val="21"/>
              </w:rPr>
              <w:t>序号</w:t>
            </w:r>
          </w:p>
        </w:tc>
        <w:tc>
          <w:tcPr>
            <w:tcW w:w="1446" w:type="dxa"/>
            <w:tcBorders>
              <w:top w:val="double" w:color="auto" w:sz="4" w:space="0"/>
              <w:left w:val="single" w:color="auto" w:sz="4" w:space="0"/>
              <w:bottom w:val="single" w:color="000000" w:sz="12" w:space="0"/>
              <w:right w:val="single" w:color="auto" w:sz="4" w:space="0"/>
            </w:tcBorders>
            <w:vAlign w:val="center"/>
          </w:tcPr>
          <w:p>
            <w:pPr>
              <w:adjustRightInd w:val="0"/>
              <w:snapToGrid w:val="0"/>
              <w:spacing w:line="400" w:lineRule="exact"/>
              <w:jc w:val="center"/>
              <w:rPr>
                <w:rFonts w:ascii="宋体" w:hAnsi="宋体"/>
                <w:b/>
                <w:bCs/>
                <w:color w:val="auto"/>
                <w:szCs w:val="21"/>
              </w:rPr>
            </w:pPr>
            <w:r>
              <w:rPr>
                <w:rFonts w:hint="eastAsia" w:ascii="宋体" w:hAnsi="宋体"/>
                <w:b/>
                <w:bCs/>
                <w:color w:val="auto"/>
                <w:szCs w:val="21"/>
              </w:rPr>
              <w:t>货物名称</w:t>
            </w:r>
          </w:p>
        </w:tc>
        <w:tc>
          <w:tcPr>
            <w:tcW w:w="1332" w:type="dxa"/>
            <w:tcBorders>
              <w:top w:val="double" w:color="auto" w:sz="4" w:space="0"/>
              <w:left w:val="single" w:color="auto" w:sz="4" w:space="0"/>
              <w:bottom w:val="single" w:color="000000" w:sz="12" w:space="0"/>
              <w:right w:val="single" w:color="000000" w:sz="6" w:space="0"/>
            </w:tcBorders>
            <w:vAlign w:val="center"/>
          </w:tcPr>
          <w:p>
            <w:pPr>
              <w:adjustRightInd w:val="0"/>
              <w:snapToGrid w:val="0"/>
              <w:spacing w:line="400" w:lineRule="exact"/>
              <w:jc w:val="center"/>
              <w:rPr>
                <w:rFonts w:ascii="宋体" w:hAnsi="宋体"/>
                <w:b/>
                <w:bCs/>
                <w:color w:val="auto"/>
                <w:szCs w:val="21"/>
              </w:rPr>
            </w:pPr>
            <w:r>
              <w:rPr>
                <w:rFonts w:hint="eastAsia" w:ascii="宋体" w:hAnsi="宋体"/>
                <w:b/>
                <w:bCs/>
                <w:color w:val="auto"/>
                <w:szCs w:val="21"/>
              </w:rPr>
              <w:t>型号规格</w:t>
            </w:r>
          </w:p>
        </w:tc>
        <w:tc>
          <w:tcPr>
            <w:tcW w:w="1260" w:type="dxa"/>
            <w:tcBorders>
              <w:top w:val="double" w:color="auto" w:sz="4" w:space="0"/>
              <w:left w:val="single" w:color="000000" w:sz="6" w:space="0"/>
              <w:bottom w:val="single" w:color="000000" w:sz="12" w:space="0"/>
              <w:right w:val="single" w:color="000000" w:sz="6" w:space="0"/>
            </w:tcBorders>
            <w:vAlign w:val="center"/>
          </w:tcPr>
          <w:p>
            <w:pPr>
              <w:adjustRightInd w:val="0"/>
              <w:snapToGrid w:val="0"/>
              <w:spacing w:line="400" w:lineRule="exact"/>
              <w:jc w:val="center"/>
              <w:rPr>
                <w:rFonts w:ascii="宋体" w:hAnsi="宋体"/>
                <w:b/>
                <w:bCs/>
                <w:color w:val="auto"/>
                <w:szCs w:val="21"/>
              </w:rPr>
            </w:pPr>
            <w:r>
              <w:rPr>
                <w:rFonts w:hint="eastAsia" w:ascii="宋体" w:hAnsi="宋体"/>
                <w:b/>
                <w:bCs/>
                <w:color w:val="auto"/>
                <w:szCs w:val="21"/>
              </w:rPr>
              <w:t>生产厂家</w:t>
            </w:r>
          </w:p>
        </w:tc>
        <w:tc>
          <w:tcPr>
            <w:tcW w:w="540" w:type="dxa"/>
            <w:tcBorders>
              <w:top w:val="double" w:color="auto" w:sz="4" w:space="0"/>
              <w:left w:val="single" w:color="000000" w:sz="6" w:space="0"/>
              <w:bottom w:val="single" w:color="000000" w:sz="12" w:space="0"/>
              <w:right w:val="single" w:color="000000" w:sz="6" w:space="0"/>
            </w:tcBorders>
            <w:vAlign w:val="center"/>
          </w:tcPr>
          <w:p>
            <w:pPr>
              <w:adjustRightInd w:val="0"/>
              <w:snapToGrid w:val="0"/>
              <w:spacing w:line="400" w:lineRule="exact"/>
              <w:jc w:val="center"/>
              <w:rPr>
                <w:rFonts w:ascii="宋体" w:hAnsi="宋体"/>
                <w:b/>
                <w:bCs/>
                <w:color w:val="auto"/>
                <w:szCs w:val="21"/>
              </w:rPr>
            </w:pPr>
            <w:r>
              <w:rPr>
                <w:rFonts w:hint="eastAsia" w:ascii="宋体" w:hAnsi="宋体"/>
                <w:b/>
                <w:bCs/>
                <w:color w:val="auto"/>
                <w:szCs w:val="21"/>
              </w:rPr>
              <w:t>单位</w:t>
            </w:r>
          </w:p>
        </w:tc>
        <w:tc>
          <w:tcPr>
            <w:tcW w:w="540" w:type="dxa"/>
            <w:tcBorders>
              <w:top w:val="double" w:color="auto" w:sz="4" w:space="0"/>
              <w:left w:val="single" w:color="000000" w:sz="6" w:space="0"/>
              <w:bottom w:val="single" w:color="000000" w:sz="12" w:space="0"/>
              <w:right w:val="single" w:color="000000" w:sz="6" w:space="0"/>
            </w:tcBorders>
            <w:vAlign w:val="center"/>
          </w:tcPr>
          <w:p>
            <w:pPr>
              <w:adjustRightInd w:val="0"/>
              <w:snapToGrid w:val="0"/>
              <w:spacing w:line="400" w:lineRule="exact"/>
              <w:jc w:val="center"/>
              <w:rPr>
                <w:rFonts w:ascii="宋体" w:hAnsi="宋体"/>
                <w:b/>
                <w:bCs/>
                <w:color w:val="auto"/>
                <w:szCs w:val="21"/>
              </w:rPr>
            </w:pPr>
            <w:r>
              <w:rPr>
                <w:rFonts w:hint="eastAsia" w:ascii="宋体" w:hAnsi="宋体"/>
                <w:b/>
                <w:bCs/>
                <w:color w:val="auto"/>
                <w:szCs w:val="21"/>
              </w:rPr>
              <w:t>数量</w:t>
            </w:r>
          </w:p>
        </w:tc>
        <w:tc>
          <w:tcPr>
            <w:tcW w:w="859" w:type="dxa"/>
            <w:tcBorders>
              <w:top w:val="double" w:color="auto" w:sz="4" w:space="0"/>
              <w:left w:val="single" w:color="000000" w:sz="6" w:space="0"/>
              <w:bottom w:val="single" w:color="000000" w:sz="12" w:space="0"/>
              <w:right w:val="single" w:color="000000" w:sz="6" w:space="0"/>
            </w:tcBorders>
            <w:vAlign w:val="center"/>
          </w:tcPr>
          <w:p>
            <w:pPr>
              <w:adjustRightInd w:val="0"/>
              <w:snapToGrid w:val="0"/>
              <w:spacing w:line="400" w:lineRule="exact"/>
              <w:jc w:val="center"/>
              <w:rPr>
                <w:rFonts w:ascii="宋体" w:hAnsi="宋体"/>
                <w:b/>
                <w:bCs/>
                <w:color w:val="auto"/>
                <w:szCs w:val="21"/>
              </w:rPr>
            </w:pPr>
            <w:r>
              <w:rPr>
                <w:rFonts w:hint="eastAsia" w:ascii="宋体" w:hAnsi="宋体"/>
                <w:b/>
                <w:bCs/>
                <w:color w:val="auto"/>
                <w:szCs w:val="21"/>
              </w:rPr>
              <w:t>单价</w:t>
            </w:r>
          </w:p>
          <w:p>
            <w:pPr>
              <w:adjustRightInd w:val="0"/>
              <w:snapToGrid w:val="0"/>
              <w:spacing w:line="400" w:lineRule="exact"/>
              <w:jc w:val="center"/>
              <w:rPr>
                <w:rFonts w:ascii="宋体" w:hAnsi="宋体"/>
                <w:b/>
                <w:bCs/>
                <w:color w:val="auto"/>
                <w:szCs w:val="21"/>
              </w:rPr>
            </w:pPr>
            <w:r>
              <w:rPr>
                <w:rFonts w:hint="eastAsia" w:ascii="宋体" w:hAnsi="宋体"/>
                <w:b/>
                <w:bCs/>
                <w:color w:val="auto"/>
                <w:szCs w:val="21"/>
              </w:rPr>
              <w:t>（元）</w:t>
            </w:r>
          </w:p>
        </w:tc>
        <w:tc>
          <w:tcPr>
            <w:tcW w:w="900" w:type="dxa"/>
            <w:tcBorders>
              <w:top w:val="double" w:color="auto" w:sz="4" w:space="0"/>
              <w:left w:val="single" w:color="000000" w:sz="6" w:space="0"/>
              <w:bottom w:val="single" w:color="000000" w:sz="12" w:space="0"/>
              <w:right w:val="single" w:color="auto" w:sz="4" w:space="0"/>
            </w:tcBorders>
            <w:vAlign w:val="center"/>
          </w:tcPr>
          <w:p>
            <w:pPr>
              <w:adjustRightInd w:val="0"/>
              <w:snapToGrid w:val="0"/>
              <w:spacing w:line="400" w:lineRule="exact"/>
              <w:jc w:val="center"/>
              <w:rPr>
                <w:rFonts w:ascii="宋体" w:hAnsi="宋体"/>
                <w:b/>
                <w:bCs/>
                <w:color w:val="auto"/>
                <w:szCs w:val="21"/>
              </w:rPr>
            </w:pPr>
            <w:r>
              <w:rPr>
                <w:rFonts w:hint="eastAsia" w:ascii="宋体" w:hAnsi="宋体"/>
                <w:b/>
                <w:bCs/>
                <w:color w:val="auto"/>
                <w:szCs w:val="21"/>
              </w:rPr>
              <w:t>总价</w:t>
            </w:r>
          </w:p>
          <w:p>
            <w:pPr>
              <w:adjustRightInd w:val="0"/>
              <w:snapToGrid w:val="0"/>
              <w:spacing w:line="400" w:lineRule="exact"/>
              <w:jc w:val="center"/>
              <w:rPr>
                <w:rFonts w:ascii="宋体" w:hAnsi="宋体"/>
                <w:b/>
                <w:bCs/>
                <w:color w:val="auto"/>
                <w:szCs w:val="21"/>
              </w:rPr>
            </w:pPr>
            <w:r>
              <w:rPr>
                <w:rFonts w:hint="eastAsia" w:ascii="宋体" w:hAnsi="宋体"/>
                <w:b/>
                <w:bCs/>
                <w:color w:val="auto"/>
                <w:szCs w:val="21"/>
              </w:rPr>
              <w:t>（元）</w:t>
            </w:r>
          </w:p>
        </w:tc>
        <w:tc>
          <w:tcPr>
            <w:tcW w:w="837" w:type="dxa"/>
            <w:tcBorders>
              <w:top w:val="double" w:color="auto" w:sz="4" w:space="0"/>
              <w:left w:val="single" w:color="auto" w:sz="4" w:space="0"/>
              <w:bottom w:val="single" w:color="000000" w:sz="12" w:space="0"/>
              <w:right w:val="single" w:color="auto" w:sz="4" w:space="0"/>
            </w:tcBorders>
            <w:vAlign w:val="center"/>
          </w:tcPr>
          <w:p>
            <w:pPr>
              <w:adjustRightInd w:val="0"/>
              <w:snapToGrid w:val="0"/>
              <w:spacing w:line="400" w:lineRule="exact"/>
              <w:jc w:val="center"/>
              <w:rPr>
                <w:rFonts w:ascii="宋体" w:hAnsi="宋体"/>
                <w:b/>
                <w:bCs/>
                <w:color w:val="auto"/>
                <w:szCs w:val="21"/>
              </w:rPr>
            </w:pPr>
            <w:r>
              <w:rPr>
                <w:rFonts w:hint="eastAsia" w:ascii="宋体" w:hAnsi="宋体"/>
                <w:b/>
                <w:bCs/>
                <w:color w:val="auto"/>
                <w:szCs w:val="21"/>
              </w:rPr>
              <w:t>质保期</w:t>
            </w:r>
          </w:p>
        </w:tc>
        <w:tc>
          <w:tcPr>
            <w:tcW w:w="822" w:type="dxa"/>
            <w:tcBorders>
              <w:top w:val="double" w:color="auto" w:sz="4" w:space="0"/>
              <w:left w:val="single" w:color="auto" w:sz="4" w:space="0"/>
              <w:bottom w:val="single" w:color="000000" w:sz="12" w:space="0"/>
              <w:right w:val="double" w:color="auto" w:sz="4" w:space="0"/>
            </w:tcBorders>
            <w:vAlign w:val="center"/>
          </w:tcPr>
          <w:p>
            <w:pPr>
              <w:adjustRightInd w:val="0"/>
              <w:snapToGrid w:val="0"/>
              <w:spacing w:line="400" w:lineRule="exact"/>
              <w:jc w:val="center"/>
              <w:rPr>
                <w:rFonts w:ascii="宋体" w:hAnsi="宋体"/>
                <w:b/>
                <w:bCs/>
                <w:color w:val="auto"/>
                <w:szCs w:val="21"/>
              </w:rPr>
            </w:pPr>
            <w:r>
              <w:rPr>
                <w:rFonts w:hint="eastAsia" w:ascii="宋体" w:hAnsi="宋体"/>
                <w:b/>
                <w:bCs/>
                <w:color w:val="auto"/>
                <w:szCs w:val="21"/>
              </w:rPr>
              <w:t>使用</w:t>
            </w:r>
          </w:p>
          <w:p>
            <w:pPr>
              <w:adjustRightInd w:val="0"/>
              <w:snapToGrid w:val="0"/>
              <w:spacing w:line="400" w:lineRule="exact"/>
              <w:jc w:val="center"/>
              <w:rPr>
                <w:rFonts w:ascii="宋体" w:hAnsi="宋体"/>
                <w:b/>
                <w:bCs/>
                <w:color w:val="auto"/>
                <w:szCs w:val="21"/>
              </w:rPr>
            </w:pPr>
            <w:r>
              <w:rPr>
                <w:rFonts w:hint="eastAsia" w:ascii="宋体" w:hAnsi="宋体"/>
                <w:b/>
                <w:bCs/>
                <w:color w:val="auto"/>
                <w:szCs w:val="21"/>
              </w:rPr>
              <w:t>单位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437" w:type="dxa"/>
            <w:tcBorders>
              <w:top w:val="nil"/>
              <w:left w:val="double" w:color="auto" w:sz="4" w:space="0"/>
              <w:bottom w:val="single" w:color="000000" w:sz="6" w:space="0"/>
              <w:right w:val="single" w:color="auto" w:sz="4" w:space="0"/>
            </w:tcBorders>
            <w:vAlign w:val="center"/>
          </w:tcPr>
          <w:p>
            <w:pPr>
              <w:adjustRightInd w:val="0"/>
              <w:snapToGrid w:val="0"/>
              <w:spacing w:line="400" w:lineRule="exact"/>
              <w:jc w:val="center"/>
              <w:rPr>
                <w:rFonts w:ascii="宋体" w:hAnsi="宋体"/>
                <w:b/>
                <w:color w:val="auto"/>
                <w:szCs w:val="21"/>
              </w:rPr>
            </w:pPr>
            <w:r>
              <w:rPr>
                <w:rFonts w:hint="eastAsia" w:ascii="宋体" w:hAnsi="宋体"/>
                <w:b/>
                <w:color w:val="auto"/>
                <w:szCs w:val="21"/>
              </w:rPr>
              <w:t>1</w:t>
            </w:r>
          </w:p>
        </w:tc>
        <w:tc>
          <w:tcPr>
            <w:tcW w:w="1446" w:type="dxa"/>
            <w:tcBorders>
              <w:top w:val="nil"/>
              <w:left w:val="single" w:color="auto" w:sz="4" w:space="0"/>
              <w:bottom w:val="single" w:color="000000" w:sz="6" w:space="0"/>
              <w:right w:val="single" w:color="auto" w:sz="4" w:space="0"/>
            </w:tcBorders>
            <w:vAlign w:val="center"/>
          </w:tcPr>
          <w:p>
            <w:pPr>
              <w:spacing w:line="400" w:lineRule="exact"/>
              <w:jc w:val="center"/>
              <w:rPr>
                <w:rFonts w:ascii="宋体" w:hAnsi="宋体"/>
                <w:b/>
                <w:color w:val="auto"/>
                <w:szCs w:val="21"/>
              </w:rPr>
            </w:pPr>
          </w:p>
        </w:tc>
        <w:tc>
          <w:tcPr>
            <w:tcW w:w="1332" w:type="dxa"/>
            <w:tcBorders>
              <w:top w:val="nil"/>
              <w:left w:val="single" w:color="auto" w:sz="4" w:space="0"/>
              <w:bottom w:val="single" w:color="000000" w:sz="6" w:space="0"/>
              <w:right w:val="single" w:color="000000" w:sz="6" w:space="0"/>
            </w:tcBorders>
            <w:vAlign w:val="center"/>
          </w:tcPr>
          <w:p>
            <w:pPr>
              <w:spacing w:line="400" w:lineRule="exact"/>
              <w:jc w:val="center"/>
              <w:rPr>
                <w:rFonts w:ascii="宋体" w:hAnsi="宋体"/>
                <w:b/>
                <w:color w:val="auto"/>
                <w:szCs w:val="21"/>
              </w:rPr>
            </w:pPr>
          </w:p>
        </w:tc>
        <w:tc>
          <w:tcPr>
            <w:tcW w:w="1260" w:type="dxa"/>
            <w:tcBorders>
              <w:top w:val="nil"/>
              <w:left w:val="single" w:color="000000" w:sz="6" w:space="0"/>
              <w:bottom w:val="single" w:color="000000" w:sz="6" w:space="0"/>
              <w:right w:val="single" w:color="000000" w:sz="6" w:space="0"/>
            </w:tcBorders>
            <w:vAlign w:val="center"/>
          </w:tcPr>
          <w:p>
            <w:pPr>
              <w:spacing w:line="400" w:lineRule="exact"/>
              <w:jc w:val="center"/>
              <w:rPr>
                <w:rFonts w:ascii="宋体" w:hAnsi="宋体"/>
                <w:color w:val="auto"/>
                <w:szCs w:val="21"/>
              </w:rPr>
            </w:pPr>
          </w:p>
        </w:tc>
        <w:tc>
          <w:tcPr>
            <w:tcW w:w="540" w:type="dxa"/>
            <w:tcBorders>
              <w:top w:val="nil"/>
              <w:left w:val="single" w:color="000000" w:sz="6" w:space="0"/>
              <w:bottom w:val="single" w:color="000000" w:sz="6" w:space="0"/>
              <w:right w:val="single" w:color="000000" w:sz="6" w:space="0"/>
            </w:tcBorders>
            <w:vAlign w:val="center"/>
          </w:tcPr>
          <w:p>
            <w:pPr>
              <w:spacing w:line="400" w:lineRule="exact"/>
              <w:jc w:val="center"/>
              <w:rPr>
                <w:rFonts w:ascii="宋体" w:hAnsi="宋体"/>
                <w:b/>
                <w:color w:val="auto"/>
                <w:szCs w:val="21"/>
              </w:rPr>
            </w:pPr>
          </w:p>
        </w:tc>
        <w:tc>
          <w:tcPr>
            <w:tcW w:w="540" w:type="dxa"/>
            <w:tcBorders>
              <w:top w:val="nil"/>
              <w:left w:val="single" w:color="000000" w:sz="6" w:space="0"/>
              <w:bottom w:val="single" w:color="000000" w:sz="6" w:space="0"/>
              <w:right w:val="single" w:color="000000" w:sz="6" w:space="0"/>
            </w:tcBorders>
            <w:vAlign w:val="center"/>
          </w:tcPr>
          <w:p>
            <w:pPr>
              <w:spacing w:line="400" w:lineRule="exact"/>
              <w:jc w:val="center"/>
              <w:rPr>
                <w:rFonts w:ascii="宋体" w:hAnsi="宋体"/>
                <w:b/>
                <w:color w:val="auto"/>
                <w:szCs w:val="21"/>
              </w:rPr>
            </w:pPr>
          </w:p>
        </w:tc>
        <w:tc>
          <w:tcPr>
            <w:tcW w:w="859" w:type="dxa"/>
            <w:tcBorders>
              <w:top w:val="nil"/>
              <w:left w:val="single" w:color="000000" w:sz="6" w:space="0"/>
              <w:bottom w:val="single" w:color="000000" w:sz="6" w:space="0"/>
              <w:right w:val="single" w:color="000000" w:sz="6" w:space="0"/>
            </w:tcBorders>
            <w:vAlign w:val="center"/>
          </w:tcPr>
          <w:p>
            <w:pPr>
              <w:spacing w:line="400" w:lineRule="exact"/>
              <w:jc w:val="center"/>
              <w:rPr>
                <w:rFonts w:ascii="宋体" w:hAnsi="宋体"/>
                <w:b/>
                <w:color w:val="auto"/>
                <w:szCs w:val="21"/>
              </w:rPr>
            </w:pPr>
          </w:p>
        </w:tc>
        <w:tc>
          <w:tcPr>
            <w:tcW w:w="900" w:type="dxa"/>
            <w:tcBorders>
              <w:top w:val="nil"/>
              <w:left w:val="single" w:color="000000" w:sz="6" w:space="0"/>
              <w:bottom w:val="single" w:color="000000" w:sz="6" w:space="0"/>
              <w:right w:val="single" w:color="auto" w:sz="4" w:space="0"/>
            </w:tcBorders>
            <w:vAlign w:val="center"/>
          </w:tcPr>
          <w:p>
            <w:pPr>
              <w:spacing w:line="400" w:lineRule="exact"/>
              <w:jc w:val="center"/>
              <w:rPr>
                <w:rFonts w:ascii="宋体" w:hAnsi="宋体"/>
                <w:b/>
                <w:color w:val="auto"/>
                <w:szCs w:val="21"/>
              </w:rPr>
            </w:pPr>
          </w:p>
        </w:tc>
        <w:tc>
          <w:tcPr>
            <w:tcW w:w="837" w:type="dxa"/>
            <w:tcBorders>
              <w:top w:val="nil"/>
              <w:left w:val="single" w:color="auto" w:sz="4" w:space="0"/>
              <w:bottom w:val="single" w:color="000000" w:sz="6" w:space="0"/>
              <w:right w:val="single" w:color="auto" w:sz="4" w:space="0"/>
            </w:tcBorders>
          </w:tcPr>
          <w:p>
            <w:pPr>
              <w:adjustRightInd w:val="0"/>
              <w:snapToGrid w:val="0"/>
              <w:spacing w:line="400" w:lineRule="exact"/>
              <w:jc w:val="center"/>
              <w:rPr>
                <w:rFonts w:ascii="宋体" w:hAnsi="宋体"/>
                <w:b/>
                <w:color w:val="auto"/>
                <w:szCs w:val="21"/>
              </w:rPr>
            </w:pPr>
          </w:p>
        </w:tc>
        <w:tc>
          <w:tcPr>
            <w:tcW w:w="822" w:type="dxa"/>
            <w:tcBorders>
              <w:top w:val="nil"/>
              <w:left w:val="single" w:color="auto" w:sz="4" w:space="0"/>
              <w:right w:val="double" w:color="auto" w:sz="4" w:space="0"/>
            </w:tcBorders>
            <w:vAlign w:val="center"/>
          </w:tcPr>
          <w:p>
            <w:pPr>
              <w:adjustRightInd w:val="0"/>
              <w:snapToGrid w:val="0"/>
              <w:spacing w:line="400" w:lineRule="exact"/>
              <w:jc w:val="center"/>
              <w:rPr>
                <w:rFonts w:ascii="宋体" w:hAnsi="宋体"/>
                <w:b/>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437" w:type="dxa"/>
            <w:tcBorders>
              <w:top w:val="single" w:color="000000" w:sz="6" w:space="0"/>
              <w:left w:val="double" w:color="auto" w:sz="4" w:space="0"/>
              <w:bottom w:val="single" w:color="000000" w:sz="6" w:space="0"/>
              <w:right w:val="single" w:color="auto" w:sz="4" w:space="0"/>
            </w:tcBorders>
            <w:vAlign w:val="center"/>
          </w:tcPr>
          <w:p>
            <w:pPr>
              <w:adjustRightInd w:val="0"/>
              <w:snapToGrid w:val="0"/>
              <w:spacing w:line="400" w:lineRule="exact"/>
              <w:jc w:val="center"/>
              <w:rPr>
                <w:rFonts w:ascii="宋体" w:hAnsi="宋体"/>
                <w:b/>
                <w:color w:val="auto"/>
                <w:szCs w:val="21"/>
              </w:rPr>
            </w:pPr>
            <w:r>
              <w:rPr>
                <w:rFonts w:hint="eastAsia" w:ascii="宋体" w:hAnsi="宋体"/>
                <w:b/>
                <w:color w:val="auto"/>
                <w:szCs w:val="21"/>
              </w:rPr>
              <w:t>2</w:t>
            </w:r>
          </w:p>
        </w:tc>
        <w:tc>
          <w:tcPr>
            <w:tcW w:w="1446" w:type="dxa"/>
            <w:tcBorders>
              <w:top w:val="single" w:color="000000" w:sz="6" w:space="0"/>
              <w:left w:val="single" w:color="auto" w:sz="4" w:space="0"/>
              <w:bottom w:val="single" w:color="000000" w:sz="6" w:space="0"/>
              <w:right w:val="single" w:color="auto" w:sz="4" w:space="0"/>
            </w:tcBorders>
            <w:vAlign w:val="center"/>
          </w:tcPr>
          <w:p>
            <w:pPr>
              <w:spacing w:line="400" w:lineRule="exact"/>
              <w:jc w:val="center"/>
              <w:rPr>
                <w:rFonts w:ascii="宋体" w:hAnsi="宋体"/>
                <w:b/>
                <w:color w:val="auto"/>
                <w:szCs w:val="21"/>
              </w:rPr>
            </w:pPr>
          </w:p>
        </w:tc>
        <w:tc>
          <w:tcPr>
            <w:tcW w:w="1332" w:type="dxa"/>
            <w:tcBorders>
              <w:top w:val="single" w:color="000000" w:sz="6" w:space="0"/>
              <w:left w:val="single" w:color="auto" w:sz="4" w:space="0"/>
              <w:bottom w:val="single" w:color="000000" w:sz="6" w:space="0"/>
              <w:right w:val="single" w:color="000000" w:sz="6" w:space="0"/>
            </w:tcBorders>
            <w:vAlign w:val="center"/>
          </w:tcPr>
          <w:p>
            <w:pPr>
              <w:spacing w:line="400" w:lineRule="exact"/>
              <w:jc w:val="center"/>
              <w:rPr>
                <w:rFonts w:ascii="宋体" w:hAnsi="宋体"/>
                <w:b/>
                <w:color w:val="auto"/>
                <w:szCs w:val="21"/>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olor w:val="auto"/>
                <w:szCs w:val="21"/>
              </w:rPr>
            </w:pPr>
          </w:p>
        </w:tc>
        <w:tc>
          <w:tcPr>
            <w:tcW w:w="540"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b/>
                <w:color w:val="auto"/>
                <w:szCs w:val="21"/>
              </w:rPr>
            </w:pPr>
          </w:p>
        </w:tc>
        <w:tc>
          <w:tcPr>
            <w:tcW w:w="540"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b/>
                <w:color w:val="auto"/>
                <w:szCs w:val="21"/>
              </w:rPr>
            </w:pPr>
          </w:p>
        </w:tc>
        <w:tc>
          <w:tcPr>
            <w:tcW w:w="859"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b/>
                <w:color w:val="auto"/>
                <w:szCs w:val="21"/>
              </w:rPr>
            </w:pPr>
          </w:p>
        </w:tc>
        <w:tc>
          <w:tcPr>
            <w:tcW w:w="900" w:type="dxa"/>
            <w:tcBorders>
              <w:top w:val="single" w:color="000000" w:sz="6" w:space="0"/>
              <w:left w:val="single" w:color="000000" w:sz="6" w:space="0"/>
              <w:bottom w:val="single" w:color="000000" w:sz="6" w:space="0"/>
              <w:right w:val="single" w:color="auto" w:sz="4" w:space="0"/>
            </w:tcBorders>
            <w:vAlign w:val="center"/>
          </w:tcPr>
          <w:p>
            <w:pPr>
              <w:spacing w:line="400" w:lineRule="exact"/>
              <w:jc w:val="center"/>
              <w:rPr>
                <w:rFonts w:ascii="宋体" w:hAnsi="宋体"/>
                <w:b/>
                <w:color w:val="auto"/>
                <w:szCs w:val="21"/>
              </w:rPr>
            </w:pPr>
          </w:p>
        </w:tc>
        <w:tc>
          <w:tcPr>
            <w:tcW w:w="837" w:type="dxa"/>
            <w:tcBorders>
              <w:top w:val="single" w:color="000000" w:sz="6" w:space="0"/>
              <w:left w:val="single" w:color="auto" w:sz="4" w:space="0"/>
              <w:bottom w:val="single" w:color="000000" w:sz="6" w:space="0"/>
              <w:right w:val="single" w:color="auto" w:sz="4" w:space="0"/>
            </w:tcBorders>
          </w:tcPr>
          <w:p>
            <w:pPr>
              <w:adjustRightInd w:val="0"/>
              <w:snapToGrid w:val="0"/>
              <w:spacing w:line="400" w:lineRule="exact"/>
              <w:jc w:val="center"/>
              <w:rPr>
                <w:rFonts w:ascii="宋体" w:hAnsi="宋体"/>
                <w:b/>
                <w:color w:val="auto"/>
                <w:szCs w:val="21"/>
              </w:rPr>
            </w:pPr>
          </w:p>
        </w:tc>
        <w:tc>
          <w:tcPr>
            <w:tcW w:w="822" w:type="dxa"/>
            <w:tcBorders>
              <w:left w:val="single" w:color="auto" w:sz="4" w:space="0"/>
              <w:right w:val="double" w:color="auto" w:sz="4" w:space="0"/>
            </w:tcBorders>
          </w:tcPr>
          <w:p>
            <w:pPr>
              <w:adjustRightInd w:val="0"/>
              <w:snapToGrid w:val="0"/>
              <w:spacing w:line="400" w:lineRule="exact"/>
              <w:jc w:val="center"/>
              <w:rPr>
                <w:rFonts w:ascii="宋体" w:hAnsi="宋体"/>
                <w:b/>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437" w:type="dxa"/>
            <w:tcBorders>
              <w:top w:val="single" w:color="000000" w:sz="6" w:space="0"/>
              <w:left w:val="double" w:color="auto" w:sz="4" w:space="0"/>
              <w:bottom w:val="single" w:color="000000" w:sz="6" w:space="0"/>
              <w:right w:val="single" w:color="auto" w:sz="4" w:space="0"/>
            </w:tcBorders>
            <w:vAlign w:val="center"/>
          </w:tcPr>
          <w:p>
            <w:pPr>
              <w:adjustRightInd w:val="0"/>
              <w:snapToGrid w:val="0"/>
              <w:spacing w:line="400" w:lineRule="exact"/>
              <w:jc w:val="center"/>
              <w:rPr>
                <w:rFonts w:ascii="宋体" w:hAnsi="宋体"/>
                <w:b/>
                <w:color w:val="auto"/>
                <w:szCs w:val="21"/>
              </w:rPr>
            </w:pPr>
            <w:r>
              <w:rPr>
                <w:rFonts w:hint="eastAsia" w:ascii="宋体" w:hAnsi="宋体"/>
                <w:b/>
                <w:color w:val="auto"/>
                <w:szCs w:val="21"/>
              </w:rPr>
              <w:t>3</w:t>
            </w:r>
          </w:p>
        </w:tc>
        <w:tc>
          <w:tcPr>
            <w:tcW w:w="1446" w:type="dxa"/>
            <w:tcBorders>
              <w:top w:val="single" w:color="000000" w:sz="6" w:space="0"/>
              <w:left w:val="single" w:color="auto" w:sz="4" w:space="0"/>
              <w:bottom w:val="single" w:color="000000" w:sz="6" w:space="0"/>
              <w:right w:val="single" w:color="auto" w:sz="4" w:space="0"/>
            </w:tcBorders>
            <w:vAlign w:val="center"/>
          </w:tcPr>
          <w:p>
            <w:pPr>
              <w:spacing w:line="400" w:lineRule="exact"/>
              <w:jc w:val="center"/>
              <w:rPr>
                <w:rFonts w:ascii="宋体" w:hAnsi="宋体"/>
                <w:b/>
                <w:color w:val="auto"/>
                <w:szCs w:val="21"/>
              </w:rPr>
            </w:pPr>
          </w:p>
        </w:tc>
        <w:tc>
          <w:tcPr>
            <w:tcW w:w="1332" w:type="dxa"/>
            <w:tcBorders>
              <w:top w:val="single" w:color="000000" w:sz="6" w:space="0"/>
              <w:left w:val="single" w:color="auto" w:sz="4" w:space="0"/>
              <w:bottom w:val="single" w:color="000000" w:sz="6" w:space="0"/>
              <w:right w:val="single" w:color="000000" w:sz="6" w:space="0"/>
            </w:tcBorders>
            <w:vAlign w:val="center"/>
          </w:tcPr>
          <w:p>
            <w:pPr>
              <w:spacing w:line="400" w:lineRule="exact"/>
              <w:jc w:val="center"/>
              <w:rPr>
                <w:rFonts w:ascii="宋体" w:hAnsi="宋体"/>
                <w:b/>
                <w:color w:val="auto"/>
                <w:szCs w:val="21"/>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olor w:val="auto"/>
                <w:szCs w:val="21"/>
              </w:rPr>
            </w:pPr>
          </w:p>
        </w:tc>
        <w:tc>
          <w:tcPr>
            <w:tcW w:w="540"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b/>
                <w:color w:val="auto"/>
                <w:szCs w:val="21"/>
              </w:rPr>
            </w:pPr>
          </w:p>
        </w:tc>
        <w:tc>
          <w:tcPr>
            <w:tcW w:w="540"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b/>
                <w:color w:val="auto"/>
                <w:szCs w:val="21"/>
              </w:rPr>
            </w:pPr>
          </w:p>
        </w:tc>
        <w:tc>
          <w:tcPr>
            <w:tcW w:w="859"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b/>
                <w:color w:val="auto"/>
                <w:szCs w:val="21"/>
              </w:rPr>
            </w:pPr>
          </w:p>
        </w:tc>
        <w:tc>
          <w:tcPr>
            <w:tcW w:w="900" w:type="dxa"/>
            <w:tcBorders>
              <w:top w:val="single" w:color="000000" w:sz="6" w:space="0"/>
              <w:left w:val="single" w:color="000000" w:sz="6" w:space="0"/>
              <w:bottom w:val="single" w:color="000000" w:sz="6" w:space="0"/>
              <w:right w:val="single" w:color="auto" w:sz="4" w:space="0"/>
            </w:tcBorders>
            <w:vAlign w:val="center"/>
          </w:tcPr>
          <w:p>
            <w:pPr>
              <w:spacing w:line="400" w:lineRule="exact"/>
              <w:jc w:val="center"/>
              <w:rPr>
                <w:rFonts w:ascii="宋体" w:hAnsi="宋体"/>
                <w:b/>
                <w:color w:val="auto"/>
                <w:szCs w:val="21"/>
              </w:rPr>
            </w:pPr>
          </w:p>
        </w:tc>
        <w:tc>
          <w:tcPr>
            <w:tcW w:w="837" w:type="dxa"/>
            <w:tcBorders>
              <w:top w:val="single" w:color="000000" w:sz="6" w:space="0"/>
              <w:left w:val="single" w:color="auto" w:sz="4" w:space="0"/>
              <w:bottom w:val="single" w:color="000000" w:sz="6" w:space="0"/>
              <w:right w:val="single" w:color="auto" w:sz="4" w:space="0"/>
            </w:tcBorders>
          </w:tcPr>
          <w:p>
            <w:pPr>
              <w:adjustRightInd w:val="0"/>
              <w:snapToGrid w:val="0"/>
              <w:spacing w:line="400" w:lineRule="exact"/>
              <w:jc w:val="center"/>
              <w:rPr>
                <w:rFonts w:ascii="宋体" w:hAnsi="宋体"/>
                <w:b/>
                <w:color w:val="auto"/>
                <w:szCs w:val="21"/>
              </w:rPr>
            </w:pPr>
          </w:p>
        </w:tc>
        <w:tc>
          <w:tcPr>
            <w:tcW w:w="822" w:type="dxa"/>
            <w:tcBorders>
              <w:left w:val="single" w:color="auto" w:sz="4" w:space="0"/>
              <w:right w:val="double" w:color="auto" w:sz="4" w:space="0"/>
            </w:tcBorders>
          </w:tcPr>
          <w:p>
            <w:pPr>
              <w:adjustRightInd w:val="0"/>
              <w:snapToGrid w:val="0"/>
              <w:spacing w:line="400" w:lineRule="exact"/>
              <w:jc w:val="center"/>
              <w:rPr>
                <w:rFonts w:ascii="宋体" w:hAnsi="宋体"/>
                <w:b/>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437" w:type="dxa"/>
            <w:tcBorders>
              <w:top w:val="single" w:color="000000" w:sz="6" w:space="0"/>
              <w:left w:val="double" w:color="auto" w:sz="4" w:space="0"/>
              <w:bottom w:val="single" w:color="000000" w:sz="6" w:space="0"/>
              <w:right w:val="single" w:color="auto" w:sz="4" w:space="0"/>
            </w:tcBorders>
            <w:vAlign w:val="center"/>
          </w:tcPr>
          <w:p>
            <w:pPr>
              <w:adjustRightInd w:val="0"/>
              <w:snapToGrid w:val="0"/>
              <w:spacing w:line="400" w:lineRule="exact"/>
              <w:jc w:val="center"/>
              <w:rPr>
                <w:rFonts w:ascii="宋体" w:hAnsi="宋体"/>
                <w:b/>
                <w:color w:val="auto"/>
                <w:szCs w:val="21"/>
              </w:rPr>
            </w:pPr>
            <w:r>
              <w:rPr>
                <w:rFonts w:hint="eastAsia" w:ascii="宋体" w:hAnsi="宋体"/>
                <w:b/>
                <w:color w:val="auto"/>
                <w:szCs w:val="21"/>
              </w:rPr>
              <w:t>4</w:t>
            </w:r>
          </w:p>
        </w:tc>
        <w:tc>
          <w:tcPr>
            <w:tcW w:w="1446" w:type="dxa"/>
            <w:tcBorders>
              <w:top w:val="single" w:color="000000" w:sz="6" w:space="0"/>
              <w:left w:val="single" w:color="auto" w:sz="4" w:space="0"/>
              <w:bottom w:val="single" w:color="000000" w:sz="6" w:space="0"/>
              <w:right w:val="single" w:color="auto" w:sz="4" w:space="0"/>
            </w:tcBorders>
            <w:vAlign w:val="center"/>
          </w:tcPr>
          <w:p>
            <w:pPr>
              <w:autoSpaceDE w:val="0"/>
              <w:autoSpaceDN w:val="0"/>
              <w:adjustRightInd w:val="0"/>
              <w:spacing w:line="400" w:lineRule="exact"/>
              <w:jc w:val="center"/>
              <w:rPr>
                <w:rFonts w:ascii="宋体" w:hAnsi="宋体"/>
                <w:b/>
                <w:color w:val="auto"/>
                <w:szCs w:val="21"/>
              </w:rPr>
            </w:pPr>
          </w:p>
        </w:tc>
        <w:tc>
          <w:tcPr>
            <w:tcW w:w="1332" w:type="dxa"/>
            <w:tcBorders>
              <w:top w:val="single" w:color="000000" w:sz="6" w:space="0"/>
              <w:left w:val="single" w:color="auto" w:sz="4" w:space="0"/>
              <w:bottom w:val="single" w:color="000000" w:sz="6" w:space="0"/>
              <w:right w:val="single" w:color="000000" w:sz="6" w:space="0"/>
            </w:tcBorders>
            <w:vAlign w:val="center"/>
          </w:tcPr>
          <w:p>
            <w:pPr>
              <w:spacing w:line="400" w:lineRule="exact"/>
              <w:jc w:val="center"/>
              <w:rPr>
                <w:rFonts w:ascii="宋体" w:hAnsi="宋体"/>
                <w:b/>
                <w:color w:val="auto"/>
                <w:szCs w:val="21"/>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b/>
                <w:color w:val="auto"/>
                <w:szCs w:val="21"/>
              </w:rPr>
            </w:pPr>
          </w:p>
        </w:tc>
        <w:tc>
          <w:tcPr>
            <w:tcW w:w="540"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b/>
                <w:color w:val="auto"/>
                <w:szCs w:val="21"/>
              </w:rPr>
            </w:pPr>
          </w:p>
        </w:tc>
        <w:tc>
          <w:tcPr>
            <w:tcW w:w="540"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b/>
                <w:color w:val="auto"/>
                <w:szCs w:val="21"/>
              </w:rPr>
            </w:pPr>
          </w:p>
        </w:tc>
        <w:tc>
          <w:tcPr>
            <w:tcW w:w="859"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b/>
                <w:color w:val="auto"/>
                <w:szCs w:val="21"/>
              </w:rPr>
            </w:pPr>
          </w:p>
        </w:tc>
        <w:tc>
          <w:tcPr>
            <w:tcW w:w="900" w:type="dxa"/>
            <w:tcBorders>
              <w:top w:val="single" w:color="000000" w:sz="6" w:space="0"/>
              <w:left w:val="single" w:color="000000" w:sz="6" w:space="0"/>
              <w:bottom w:val="single" w:color="000000" w:sz="6" w:space="0"/>
              <w:right w:val="single" w:color="auto" w:sz="4" w:space="0"/>
            </w:tcBorders>
            <w:vAlign w:val="center"/>
          </w:tcPr>
          <w:p>
            <w:pPr>
              <w:spacing w:line="400" w:lineRule="exact"/>
              <w:jc w:val="center"/>
              <w:rPr>
                <w:rFonts w:ascii="宋体" w:hAnsi="宋体"/>
                <w:b/>
                <w:color w:val="auto"/>
                <w:szCs w:val="21"/>
              </w:rPr>
            </w:pPr>
          </w:p>
        </w:tc>
        <w:tc>
          <w:tcPr>
            <w:tcW w:w="837" w:type="dxa"/>
            <w:tcBorders>
              <w:top w:val="single" w:color="000000" w:sz="6" w:space="0"/>
              <w:left w:val="single" w:color="auto" w:sz="4" w:space="0"/>
              <w:bottom w:val="single" w:color="000000" w:sz="6" w:space="0"/>
              <w:right w:val="single" w:color="auto" w:sz="4" w:space="0"/>
            </w:tcBorders>
          </w:tcPr>
          <w:p>
            <w:pPr>
              <w:adjustRightInd w:val="0"/>
              <w:snapToGrid w:val="0"/>
              <w:spacing w:line="400" w:lineRule="exact"/>
              <w:jc w:val="center"/>
              <w:rPr>
                <w:rFonts w:ascii="宋体" w:hAnsi="宋体"/>
                <w:b/>
                <w:color w:val="auto"/>
                <w:szCs w:val="21"/>
              </w:rPr>
            </w:pPr>
          </w:p>
        </w:tc>
        <w:tc>
          <w:tcPr>
            <w:tcW w:w="822" w:type="dxa"/>
            <w:tcBorders>
              <w:left w:val="single" w:color="auto" w:sz="4" w:space="0"/>
              <w:right w:val="double" w:color="auto" w:sz="4" w:space="0"/>
            </w:tcBorders>
          </w:tcPr>
          <w:p>
            <w:pPr>
              <w:adjustRightInd w:val="0"/>
              <w:snapToGrid w:val="0"/>
              <w:spacing w:line="400" w:lineRule="exact"/>
              <w:jc w:val="center"/>
              <w:rPr>
                <w:rFonts w:ascii="宋体" w:hAnsi="宋体"/>
                <w:b/>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437" w:type="dxa"/>
            <w:tcBorders>
              <w:top w:val="single" w:color="000000" w:sz="6" w:space="0"/>
              <w:left w:val="double" w:color="auto" w:sz="4" w:space="0"/>
              <w:bottom w:val="single" w:color="000000" w:sz="6" w:space="0"/>
              <w:right w:val="single" w:color="auto" w:sz="4" w:space="0"/>
            </w:tcBorders>
            <w:vAlign w:val="center"/>
          </w:tcPr>
          <w:p>
            <w:pPr>
              <w:adjustRightInd w:val="0"/>
              <w:snapToGrid w:val="0"/>
              <w:spacing w:line="400" w:lineRule="exact"/>
              <w:jc w:val="center"/>
              <w:rPr>
                <w:rFonts w:ascii="宋体" w:hAnsi="宋体"/>
                <w:b/>
                <w:color w:val="auto"/>
                <w:szCs w:val="21"/>
              </w:rPr>
            </w:pPr>
            <w:r>
              <w:rPr>
                <w:rFonts w:hint="eastAsia" w:ascii="宋体" w:hAnsi="宋体"/>
                <w:b/>
                <w:color w:val="auto"/>
                <w:szCs w:val="21"/>
              </w:rPr>
              <w:t>5</w:t>
            </w:r>
          </w:p>
        </w:tc>
        <w:tc>
          <w:tcPr>
            <w:tcW w:w="1446" w:type="dxa"/>
            <w:tcBorders>
              <w:top w:val="single" w:color="000000" w:sz="6" w:space="0"/>
              <w:left w:val="single" w:color="auto" w:sz="4" w:space="0"/>
              <w:bottom w:val="single" w:color="000000" w:sz="6" w:space="0"/>
              <w:right w:val="single" w:color="auto" w:sz="4" w:space="0"/>
            </w:tcBorders>
            <w:vAlign w:val="center"/>
          </w:tcPr>
          <w:p>
            <w:pPr>
              <w:autoSpaceDE w:val="0"/>
              <w:autoSpaceDN w:val="0"/>
              <w:adjustRightInd w:val="0"/>
              <w:spacing w:line="400" w:lineRule="exact"/>
              <w:jc w:val="center"/>
              <w:rPr>
                <w:rFonts w:ascii="宋体" w:hAnsi="宋体"/>
                <w:b/>
                <w:color w:val="auto"/>
                <w:szCs w:val="21"/>
              </w:rPr>
            </w:pPr>
          </w:p>
        </w:tc>
        <w:tc>
          <w:tcPr>
            <w:tcW w:w="1332" w:type="dxa"/>
            <w:tcBorders>
              <w:top w:val="single" w:color="000000" w:sz="6" w:space="0"/>
              <w:left w:val="single" w:color="auto" w:sz="4" w:space="0"/>
              <w:bottom w:val="single" w:color="000000" w:sz="6" w:space="0"/>
              <w:right w:val="single" w:color="000000" w:sz="6" w:space="0"/>
            </w:tcBorders>
            <w:vAlign w:val="center"/>
          </w:tcPr>
          <w:p>
            <w:pPr>
              <w:spacing w:line="400" w:lineRule="exact"/>
              <w:jc w:val="center"/>
              <w:rPr>
                <w:rFonts w:ascii="宋体" w:hAnsi="宋体"/>
                <w:b/>
                <w:color w:val="auto"/>
                <w:szCs w:val="21"/>
              </w:rPr>
            </w:pPr>
          </w:p>
        </w:tc>
        <w:tc>
          <w:tcPr>
            <w:tcW w:w="12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olor w:val="auto"/>
                <w:szCs w:val="21"/>
              </w:rPr>
            </w:pPr>
          </w:p>
        </w:tc>
        <w:tc>
          <w:tcPr>
            <w:tcW w:w="540"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b/>
                <w:color w:val="auto"/>
                <w:szCs w:val="21"/>
              </w:rPr>
            </w:pPr>
          </w:p>
        </w:tc>
        <w:tc>
          <w:tcPr>
            <w:tcW w:w="540"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b/>
                <w:color w:val="auto"/>
                <w:szCs w:val="21"/>
              </w:rPr>
            </w:pPr>
          </w:p>
        </w:tc>
        <w:tc>
          <w:tcPr>
            <w:tcW w:w="859"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b/>
                <w:color w:val="auto"/>
                <w:szCs w:val="21"/>
              </w:rPr>
            </w:pPr>
          </w:p>
        </w:tc>
        <w:tc>
          <w:tcPr>
            <w:tcW w:w="900" w:type="dxa"/>
            <w:tcBorders>
              <w:top w:val="single" w:color="000000" w:sz="6" w:space="0"/>
              <w:left w:val="single" w:color="000000" w:sz="6" w:space="0"/>
              <w:bottom w:val="single" w:color="000000" w:sz="6" w:space="0"/>
              <w:right w:val="single" w:color="auto" w:sz="4" w:space="0"/>
            </w:tcBorders>
            <w:vAlign w:val="center"/>
          </w:tcPr>
          <w:p>
            <w:pPr>
              <w:spacing w:line="400" w:lineRule="exact"/>
              <w:jc w:val="center"/>
              <w:rPr>
                <w:rFonts w:ascii="宋体" w:hAnsi="宋体"/>
                <w:b/>
                <w:color w:val="auto"/>
                <w:szCs w:val="21"/>
              </w:rPr>
            </w:pPr>
          </w:p>
        </w:tc>
        <w:tc>
          <w:tcPr>
            <w:tcW w:w="837" w:type="dxa"/>
            <w:tcBorders>
              <w:top w:val="single" w:color="000000" w:sz="6" w:space="0"/>
              <w:left w:val="single" w:color="auto" w:sz="4" w:space="0"/>
              <w:bottom w:val="single" w:color="000000" w:sz="6" w:space="0"/>
              <w:right w:val="single" w:color="auto" w:sz="4" w:space="0"/>
            </w:tcBorders>
          </w:tcPr>
          <w:p>
            <w:pPr>
              <w:adjustRightInd w:val="0"/>
              <w:snapToGrid w:val="0"/>
              <w:spacing w:line="400" w:lineRule="exact"/>
              <w:jc w:val="center"/>
              <w:rPr>
                <w:rFonts w:ascii="宋体" w:hAnsi="宋体"/>
                <w:b/>
                <w:color w:val="auto"/>
                <w:szCs w:val="21"/>
              </w:rPr>
            </w:pPr>
          </w:p>
        </w:tc>
        <w:tc>
          <w:tcPr>
            <w:tcW w:w="822" w:type="dxa"/>
            <w:tcBorders>
              <w:left w:val="single" w:color="auto" w:sz="4" w:space="0"/>
              <w:right w:val="double" w:color="auto" w:sz="4" w:space="0"/>
            </w:tcBorders>
          </w:tcPr>
          <w:p>
            <w:pPr>
              <w:adjustRightInd w:val="0"/>
              <w:snapToGrid w:val="0"/>
              <w:spacing w:line="400" w:lineRule="exact"/>
              <w:jc w:val="center"/>
              <w:rPr>
                <w:rFonts w:ascii="宋体" w:hAnsi="宋体"/>
                <w:b/>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437" w:type="dxa"/>
            <w:tcBorders>
              <w:top w:val="single" w:color="000000" w:sz="6" w:space="0"/>
              <w:left w:val="double" w:color="auto" w:sz="4" w:space="0"/>
              <w:bottom w:val="single" w:color="000000" w:sz="6" w:space="0"/>
              <w:right w:val="single" w:color="auto" w:sz="4" w:space="0"/>
            </w:tcBorders>
            <w:vAlign w:val="center"/>
          </w:tcPr>
          <w:p>
            <w:pPr>
              <w:adjustRightInd w:val="0"/>
              <w:snapToGrid w:val="0"/>
              <w:spacing w:line="400" w:lineRule="exact"/>
              <w:jc w:val="center"/>
              <w:rPr>
                <w:rFonts w:ascii="宋体" w:hAnsi="宋体"/>
                <w:b/>
                <w:color w:val="auto"/>
                <w:szCs w:val="21"/>
              </w:rPr>
            </w:pPr>
            <w:r>
              <w:rPr>
                <w:rFonts w:hint="eastAsia" w:ascii="宋体" w:hAnsi="宋体"/>
                <w:b/>
                <w:color w:val="auto"/>
                <w:szCs w:val="21"/>
              </w:rPr>
              <w:t>6</w:t>
            </w:r>
          </w:p>
        </w:tc>
        <w:tc>
          <w:tcPr>
            <w:tcW w:w="1446" w:type="dxa"/>
            <w:tcBorders>
              <w:top w:val="single" w:color="000000" w:sz="6" w:space="0"/>
              <w:left w:val="single" w:color="auto" w:sz="4" w:space="0"/>
              <w:bottom w:val="single" w:color="000000" w:sz="6" w:space="0"/>
              <w:right w:val="single" w:color="auto" w:sz="4" w:space="0"/>
            </w:tcBorders>
            <w:vAlign w:val="center"/>
          </w:tcPr>
          <w:p>
            <w:pPr>
              <w:spacing w:line="400" w:lineRule="exact"/>
              <w:jc w:val="center"/>
              <w:rPr>
                <w:rFonts w:ascii="宋体" w:hAnsi="宋体"/>
                <w:b/>
                <w:color w:val="auto"/>
                <w:szCs w:val="21"/>
              </w:rPr>
            </w:pPr>
          </w:p>
        </w:tc>
        <w:tc>
          <w:tcPr>
            <w:tcW w:w="1332" w:type="dxa"/>
            <w:tcBorders>
              <w:top w:val="single" w:color="000000" w:sz="6" w:space="0"/>
              <w:left w:val="single" w:color="auto" w:sz="4" w:space="0"/>
              <w:bottom w:val="single" w:color="000000" w:sz="6" w:space="0"/>
              <w:right w:val="single" w:color="000000" w:sz="6" w:space="0"/>
            </w:tcBorders>
            <w:vAlign w:val="center"/>
          </w:tcPr>
          <w:p>
            <w:pPr>
              <w:spacing w:line="400" w:lineRule="exact"/>
              <w:jc w:val="center"/>
              <w:rPr>
                <w:rFonts w:ascii="宋体" w:hAnsi="宋体"/>
                <w:b/>
                <w:color w:val="auto"/>
                <w:szCs w:val="21"/>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olor w:val="auto"/>
                <w:szCs w:val="21"/>
              </w:rPr>
            </w:pPr>
          </w:p>
        </w:tc>
        <w:tc>
          <w:tcPr>
            <w:tcW w:w="540"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b/>
                <w:color w:val="auto"/>
                <w:szCs w:val="21"/>
              </w:rPr>
            </w:pPr>
          </w:p>
        </w:tc>
        <w:tc>
          <w:tcPr>
            <w:tcW w:w="540"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b/>
                <w:color w:val="auto"/>
                <w:szCs w:val="21"/>
              </w:rPr>
            </w:pPr>
          </w:p>
        </w:tc>
        <w:tc>
          <w:tcPr>
            <w:tcW w:w="859"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b/>
                <w:color w:val="auto"/>
                <w:szCs w:val="21"/>
              </w:rPr>
            </w:pPr>
          </w:p>
        </w:tc>
        <w:tc>
          <w:tcPr>
            <w:tcW w:w="900" w:type="dxa"/>
            <w:tcBorders>
              <w:top w:val="single" w:color="000000" w:sz="6" w:space="0"/>
              <w:left w:val="single" w:color="000000" w:sz="6" w:space="0"/>
              <w:bottom w:val="single" w:color="000000" w:sz="6" w:space="0"/>
              <w:right w:val="single" w:color="auto" w:sz="4" w:space="0"/>
            </w:tcBorders>
            <w:vAlign w:val="center"/>
          </w:tcPr>
          <w:p>
            <w:pPr>
              <w:spacing w:line="400" w:lineRule="exact"/>
              <w:jc w:val="center"/>
              <w:rPr>
                <w:rFonts w:ascii="宋体" w:hAnsi="宋体"/>
                <w:b/>
                <w:color w:val="auto"/>
                <w:szCs w:val="21"/>
              </w:rPr>
            </w:pPr>
          </w:p>
        </w:tc>
        <w:tc>
          <w:tcPr>
            <w:tcW w:w="837" w:type="dxa"/>
            <w:tcBorders>
              <w:top w:val="single" w:color="000000" w:sz="6" w:space="0"/>
              <w:left w:val="single" w:color="auto" w:sz="4" w:space="0"/>
              <w:bottom w:val="single" w:color="000000" w:sz="6" w:space="0"/>
              <w:right w:val="single" w:color="auto" w:sz="4" w:space="0"/>
            </w:tcBorders>
          </w:tcPr>
          <w:p>
            <w:pPr>
              <w:adjustRightInd w:val="0"/>
              <w:snapToGrid w:val="0"/>
              <w:spacing w:line="400" w:lineRule="exact"/>
              <w:jc w:val="center"/>
              <w:rPr>
                <w:rFonts w:ascii="宋体" w:hAnsi="宋体"/>
                <w:b/>
                <w:color w:val="auto"/>
                <w:szCs w:val="21"/>
              </w:rPr>
            </w:pPr>
          </w:p>
        </w:tc>
        <w:tc>
          <w:tcPr>
            <w:tcW w:w="822" w:type="dxa"/>
            <w:tcBorders>
              <w:left w:val="single" w:color="auto" w:sz="4" w:space="0"/>
              <w:bottom w:val="single" w:color="000000" w:sz="6" w:space="0"/>
              <w:right w:val="double" w:color="auto" w:sz="4" w:space="0"/>
            </w:tcBorders>
          </w:tcPr>
          <w:p>
            <w:pPr>
              <w:adjustRightInd w:val="0"/>
              <w:snapToGrid w:val="0"/>
              <w:spacing w:line="400" w:lineRule="exact"/>
              <w:jc w:val="center"/>
              <w:rPr>
                <w:rFonts w:ascii="宋体" w:hAnsi="宋体"/>
                <w:b/>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8973" w:type="dxa"/>
            <w:gridSpan w:val="10"/>
            <w:tcBorders>
              <w:top w:val="single" w:color="000000" w:sz="6" w:space="0"/>
              <w:left w:val="double" w:color="auto" w:sz="4" w:space="0"/>
              <w:bottom w:val="double" w:color="auto" w:sz="4" w:space="0"/>
              <w:right w:val="double" w:color="auto" w:sz="4" w:space="0"/>
            </w:tcBorders>
            <w:vAlign w:val="center"/>
          </w:tcPr>
          <w:p>
            <w:pPr>
              <w:adjustRightInd w:val="0"/>
              <w:snapToGrid w:val="0"/>
              <w:spacing w:line="400" w:lineRule="exact"/>
              <w:ind w:firstLine="105" w:firstLineChars="50"/>
              <w:rPr>
                <w:rFonts w:ascii="宋体" w:hAnsi="宋体"/>
                <w:color w:val="auto"/>
                <w:szCs w:val="21"/>
              </w:rPr>
            </w:pPr>
            <w:r>
              <w:rPr>
                <w:rFonts w:hint="eastAsia" w:ascii="宋体" w:hAnsi="宋体"/>
                <w:b/>
                <w:color w:val="auto"/>
                <w:szCs w:val="21"/>
              </w:rPr>
              <w:t>合计（小写）：                  元</w:t>
            </w:r>
          </w:p>
        </w:tc>
      </w:tr>
    </w:tbl>
    <w:p>
      <w:pPr>
        <w:widowControl/>
        <w:spacing w:line="40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 xml:space="preserve">1、合同总价为人民币（大写）：                </w:t>
      </w:r>
      <w:r>
        <w:rPr>
          <w:rFonts w:hint="eastAsia" w:ascii="宋体" w:hAnsi="宋体"/>
          <w:color w:val="auto"/>
          <w:szCs w:val="21"/>
        </w:rPr>
        <w:t>元整。</w:t>
      </w:r>
    </w:p>
    <w:p>
      <w:pPr>
        <w:widowControl/>
        <w:spacing w:line="40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2、以上货物价款包括运输、保险、税费、搬运、安装、调试及服务等费用。</w:t>
      </w:r>
    </w:p>
    <w:p>
      <w:pPr>
        <w:widowControl/>
        <w:spacing w:beforeLines="50" w:line="400" w:lineRule="exact"/>
        <w:jc w:val="left"/>
        <w:rPr>
          <w:rFonts w:ascii="宋体" w:hAnsi="宋体" w:cs="Arial"/>
          <w:color w:val="auto"/>
          <w:kern w:val="0"/>
          <w:sz w:val="24"/>
        </w:rPr>
      </w:pPr>
      <w:r>
        <w:rPr>
          <w:rFonts w:hint="eastAsia" w:ascii="宋体" w:hAnsi="宋体"/>
          <w:b/>
          <w:color w:val="auto"/>
          <w:sz w:val="24"/>
        </w:rPr>
        <w:t>三、交货时间、地点及方式</w:t>
      </w:r>
    </w:p>
    <w:p>
      <w:pPr>
        <w:widowControl/>
        <w:snapToGrid w:val="0"/>
        <w:spacing w:line="400" w:lineRule="exact"/>
        <w:ind w:firstLine="420" w:firstLineChars="200"/>
        <w:jc w:val="left"/>
        <w:rPr>
          <w:rFonts w:ascii="宋体" w:hAnsi="宋体"/>
          <w:bCs/>
          <w:color w:val="auto"/>
          <w:szCs w:val="21"/>
        </w:rPr>
      </w:pPr>
      <w:r>
        <w:rPr>
          <w:rFonts w:hint="eastAsia" w:ascii="宋体" w:hAnsi="宋体" w:cs="Arial"/>
          <w:color w:val="auto"/>
          <w:kern w:val="0"/>
        </w:rPr>
        <w:t>1、</w:t>
      </w:r>
      <w:r>
        <w:rPr>
          <w:rFonts w:hint="eastAsia" w:ascii="宋体" w:hAnsi="宋体"/>
          <w:bCs/>
          <w:color w:val="auto"/>
          <w:szCs w:val="21"/>
        </w:rPr>
        <w:t>货物在合同签订后2018年   月   日前于湖南工程学院安装指定地点完成安装、调试及验收工作。</w:t>
      </w:r>
    </w:p>
    <w:p>
      <w:pPr>
        <w:widowControl/>
        <w:snapToGrid w:val="0"/>
        <w:spacing w:line="40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2、乙方负责办理运输和保险，将货物运抵现场，并负责装卸和搬运到甲方指定</w:t>
      </w:r>
      <w:r>
        <w:rPr>
          <w:rFonts w:hint="eastAsia" w:ascii="宋体" w:hAnsi="宋体" w:cs="Arial"/>
          <w:color w:val="auto"/>
          <w:kern w:val="0"/>
        </w:rPr>
        <w:t>安装</w:t>
      </w:r>
      <w:r>
        <w:rPr>
          <w:rFonts w:hint="eastAsia" w:ascii="宋体" w:hAnsi="宋体" w:cs="Arial"/>
          <w:color w:val="auto"/>
          <w:kern w:val="0"/>
          <w:szCs w:val="21"/>
        </w:rPr>
        <w:t>地点。</w:t>
      </w:r>
    </w:p>
    <w:p>
      <w:pPr>
        <w:widowControl/>
        <w:snapToGrid w:val="0"/>
        <w:spacing w:line="40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3、交货方式为</w:t>
      </w:r>
      <w:r>
        <w:rPr>
          <w:rFonts w:hint="eastAsia" w:ascii="宋体" w:hAnsi="宋体" w:cs="Arial"/>
          <w:color w:val="auto"/>
          <w:kern w:val="0"/>
        </w:rPr>
        <w:t>甲方</w:t>
      </w:r>
      <w:r>
        <w:rPr>
          <w:rFonts w:hint="eastAsia" w:ascii="宋体" w:hAnsi="宋体" w:cs="Arial"/>
          <w:color w:val="auto"/>
          <w:kern w:val="0"/>
          <w:szCs w:val="21"/>
        </w:rPr>
        <w:t>现场交货。</w:t>
      </w:r>
    </w:p>
    <w:p>
      <w:pPr>
        <w:widowControl/>
        <w:spacing w:beforeLines="50" w:line="400" w:lineRule="exact"/>
        <w:jc w:val="left"/>
        <w:rPr>
          <w:rFonts w:ascii="宋体" w:hAnsi="宋体" w:cs="Arial"/>
          <w:color w:val="auto"/>
          <w:kern w:val="0"/>
          <w:sz w:val="24"/>
        </w:rPr>
      </w:pPr>
      <w:r>
        <w:rPr>
          <w:rFonts w:hint="eastAsia" w:ascii="宋体" w:hAnsi="宋体" w:cs="Arial"/>
          <w:b/>
          <w:bCs/>
          <w:color w:val="auto"/>
          <w:kern w:val="0"/>
          <w:sz w:val="24"/>
        </w:rPr>
        <w:t>四、付款方式</w:t>
      </w:r>
    </w:p>
    <w:p>
      <w:pPr>
        <w:widowControl/>
        <w:snapToGrid w:val="0"/>
        <w:spacing w:line="40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1、</w:t>
      </w:r>
      <w:r>
        <w:rPr>
          <w:rFonts w:hint="eastAsia" w:ascii="宋体" w:hAnsi="宋体" w:cs="宋体"/>
          <w:color w:val="auto"/>
          <w:kern w:val="0"/>
          <w:szCs w:val="21"/>
        </w:rPr>
        <w:t>本项目不预付货款。</w:t>
      </w:r>
      <w:r>
        <w:rPr>
          <w:rFonts w:hint="eastAsia" w:ascii="宋体" w:hAnsi="宋体"/>
          <w:color w:val="auto"/>
          <w:szCs w:val="21"/>
        </w:rPr>
        <w:t>经用户验收合格后二十日内，凭用户验收证明单及卖方开具的发票支付货款的95%，余下5%货款作为质量保证金在质保期满后十五天内凭用户验收证明单及卖方开具的发票一次付清</w:t>
      </w:r>
      <w:r>
        <w:rPr>
          <w:rFonts w:hint="eastAsia" w:ascii="宋体" w:hAnsi="宋体" w:cs="宋体"/>
          <w:color w:val="auto"/>
          <w:kern w:val="0"/>
          <w:szCs w:val="21"/>
        </w:rPr>
        <w:t>。</w:t>
      </w:r>
    </w:p>
    <w:p>
      <w:pPr>
        <w:widowControl/>
        <w:snapToGrid w:val="0"/>
        <w:spacing w:line="40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2、支付方式:通过银行转账方式支付。</w:t>
      </w:r>
    </w:p>
    <w:p>
      <w:pPr>
        <w:widowControl/>
        <w:snapToGrid w:val="0"/>
        <w:spacing w:line="400" w:lineRule="exact"/>
        <w:ind w:firstLine="420" w:firstLineChars="200"/>
        <w:jc w:val="left"/>
        <w:rPr>
          <w:rFonts w:ascii="宋体" w:hAnsi="宋体" w:cs="Arial"/>
          <w:color w:val="auto"/>
          <w:kern w:val="0"/>
          <w:sz w:val="18"/>
          <w:szCs w:val="18"/>
        </w:rPr>
      </w:pPr>
      <w:r>
        <w:rPr>
          <w:rFonts w:hint="eastAsia" w:ascii="宋体" w:hAnsi="宋体" w:cs="Arial"/>
          <w:color w:val="auto"/>
          <w:kern w:val="0"/>
          <w:szCs w:val="21"/>
        </w:rPr>
        <w:t xml:space="preserve">3、支付单位: </w:t>
      </w:r>
      <w:r>
        <w:rPr>
          <w:rFonts w:hint="eastAsia" w:ascii="宋体" w:hAnsi="宋体"/>
          <w:color w:val="auto"/>
          <w:szCs w:val="21"/>
        </w:rPr>
        <w:t>甲方</w:t>
      </w:r>
      <w:r>
        <w:rPr>
          <w:rFonts w:hint="eastAsia" w:ascii="宋体" w:hAnsi="宋体" w:cs="Arial"/>
          <w:color w:val="auto"/>
          <w:kern w:val="0"/>
          <w:szCs w:val="21"/>
        </w:rPr>
        <w:t>。</w:t>
      </w:r>
    </w:p>
    <w:p>
      <w:pPr>
        <w:spacing w:beforeLines="50" w:line="400" w:lineRule="exact"/>
        <w:rPr>
          <w:rFonts w:ascii="宋体" w:hAnsi="宋体"/>
          <w:b/>
          <w:color w:val="auto"/>
          <w:sz w:val="24"/>
        </w:rPr>
      </w:pPr>
      <w:r>
        <w:rPr>
          <w:rFonts w:hint="eastAsia" w:ascii="宋体" w:hAnsi="宋体"/>
          <w:b/>
          <w:color w:val="auto"/>
          <w:sz w:val="24"/>
        </w:rPr>
        <w:t>五、技术标准、质量保证及售后服务</w:t>
      </w:r>
    </w:p>
    <w:p>
      <w:pPr>
        <w:spacing w:line="400" w:lineRule="exact"/>
        <w:ind w:firstLine="420" w:firstLineChars="200"/>
        <w:rPr>
          <w:rFonts w:ascii="宋体" w:hAnsi="宋体"/>
          <w:color w:val="auto"/>
          <w:szCs w:val="21"/>
        </w:rPr>
      </w:pPr>
      <w:r>
        <w:rPr>
          <w:rFonts w:hint="eastAsia" w:ascii="宋体" w:hAnsi="宋体"/>
          <w:color w:val="auto"/>
          <w:szCs w:val="21"/>
        </w:rPr>
        <w:t>1、</w:t>
      </w:r>
      <w:r>
        <w:rPr>
          <w:rFonts w:hint="eastAsia" w:ascii="宋体" w:hAnsi="宋体" w:cs="Arial"/>
          <w:color w:val="auto"/>
          <w:kern w:val="0"/>
          <w:szCs w:val="21"/>
        </w:rPr>
        <w:t>乙方</w:t>
      </w:r>
      <w:r>
        <w:rPr>
          <w:rFonts w:hint="eastAsia" w:ascii="宋体" w:hAnsi="宋体"/>
          <w:color w:val="auto"/>
          <w:szCs w:val="21"/>
        </w:rPr>
        <w:t>必须严格按照招标文件要求提供符合国家技术标准或行业标准的产品。</w:t>
      </w:r>
    </w:p>
    <w:p>
      <w:pPr>
        <w:spacing w:line="400" w:lineRule="exact"/>
        <w:ind w:firstLine="420" w:firstLineChars="200"/>
        <w:rPr>
          <w:rFonts w:ascii="宋体" w:hAnsi="宋体"/>
          <w:color w:val="auto"/>
          <w:szCs w:val="21"/>
        </w:rPr>
      </w:pPr>
      <w:r>
        <w:rPr>
          <w:rFonts w:hint="eastAsia" w:ascii="宋体" w:hAnsi="宋体"/>
          <w:color w:val="auto"/>
          <w:szCs w:val="21"/>
        </w:rPr>
        <w:t>2、</w:t>
      </w:r>
      <w:r>
        <w:rPr>
          <w:rFonts w:hint="eastAsia" w:ascii="宋体" w:hAnsi="宋体" w:cs="Arial"/>
          <w:color w:val="auto"/>
          <w:kern w:val="0"/>
          <w:szCs w:val="21"/>
        </w:rPr>
        <w:t>乙方</w:t>
      </w:r>
      <w:r>
        <w:rPr>
          <w:rFonts w:hint="eastAsia" w:ascii="宋体" w:hAnsi="宋体"/>
          <w:color w:val="auto"/>
          <w:szCs w:val="21"/>
        </w:rPr>
        <w:t>必须保证所提供的货物（包括零部件）是原装、全新、通过合法渠道取得的正规产品，并且符合国家有关检测标准和合同规定的质量、性能、技术规范等的要求以及该产品的出厂标准和原装配置。</w:t>
      </w:r>
    </w:p>
    <w:p>
      <w:pPr>
        <w:spacing w:line="400" w:lineRule="exact"/>
        <w:ind w:firstLine="420" w:firstLineChars="200"/>
        <w:rPr>
          <w:rFonts w:ascii="宋体" w:hAnsi="宋体"/>
          <w:color w:val="auto"/>
          <w:szCs w:val="21"/>
        </w:rPr>
      </w:pPr>
      <w:r>
        <w:rPr>
          <w:rFonts w:hint="eastAsia" w:ascii="宋体" w:hAnsi="宋体"/>
          <w:color w:val="auto"/>
          <w:szCs w:val="21"/>
        </w:rPr>
        <w:t>3、</w:t>
      </w:r>
      <w:r>
        <w:rPr>
          <w:rFonts w:hint="eastAsia" w:ascii="宋体" w:hAnsi="宋体" w:cs="Arial"/>
          <w:color w:val="auto"/>
          <w:kern w:val="0"/>
          <w:szCs w:val="21"/>
        </w:rPr>
        <w:t>甲方</w:t>
      </w:r>
      <w:r>
        <w:rPr>
          <w:rFonts w:hint="eastAsia" w:ascii="宋体" w:hAnsi="宋体"/>
          <w:color w:val="auto"/>
          <w:szCs w:val="21"/>
        </w:rPr>
        <w:t>按国家技术标准或行业标准自行检验的结果或委托有资质的相关质检机构的检验结果，如发现货物的数量、质量、规格与合同不符；或者在质量保证期内，证实货物存在缺陷，包括潜在的缺陷或使用不符合要求的材料等，</w:t>
      </w:r>
      <w:r>
        <w:rPr>
          <w:rFonts w:hint="eastAsia" w:ascii="宋体" w:hAnsi="宋体" w:cs="Arial"/>
          <w:color w:val="auto"/>
          <w:kern w:val="0"/>
          <w:szCs w:val="21"/>
        </w:rPr>
        <w:t>甲方</w:t>
      </w:r>
      <w:r>
        <w:rPr>
          <w:rFonts w:hint="eastAsia" w:ascii="宋体" w:hAnsi="宋体"/>
          <w:color w:val="auto"/>
          <w:szCs w:val="21"/>
        </w:rPr>
        <w:t>应尽快以书面形式通知</w:t>
      </w:r>
      <w:r>
        <w:rPr>
          <w:rFonts w:hint="eastAsia" w:ascii="宋体" w:hAnsi="宋体" w:cs="Arial"/>
          <w:color w:val="auto"/>
          <w:kern w:val="0"/>
          <w:szCs w:val="21"/>
        </w:rPr>
        <w:t>乙方</w:t>
      </w:r>
      <w:r>
        <w:rPr>
          <w:rFonts w:hint="eastAsia" w:ascii="宋体" w:hAnsi="宋体"/>
          <w:color w:val="auto"/>
          <w:szCs w:val="21"/>
        </w:rPr>
        <w:t>。</w:t>
      </w:r>
      <w:r>
        <w:rPr>
          <w:rFonts w:hint="eastAsia" w:ascii="宋体" w:hAnsi="宋体" w:cs="Arial"/>
          <w:color w:val="auto"/>
          <w:kern w:val="0"/>
          <w:szCs w:val="21"/>
        </w:rPr>
        <w:t>乙方</w:t>
      </w:r>
      <w:r>
        <w:rPr>
          <w:rFonts w:hint="eastAsia" w:ascii="宋体" w:hAnsi="宋体"/>
          <w:color w:val="auto"/>
          <w:szCs w:val="21"/>
        </w:rPr>
        <w:t>在收到通知后3日内应免费维修或更换有缺陷的货物或部件。如果</w:t>
      </w:r>
      <w:r>
        <w:rPr>
          <w:rFonts w:hint="eastAsia" w:ascii="宋体" w:hAnsi="宋体" w:cs="Arial"/>
          <w:color w:val="auto"/>
          <w:kern w:val="0"/>
          <w:szCs w:val="21"/>
        </w:rPr>
        <w:t>乙方</w:t>
      </w:r>
      <w:r>
        <w:rPr>
          <w:rFonts w:hint="eastAsia" w:ascii="宋体" w:hAnsi="宋体"/>
          <w:color w:val="auto"/>
          <w:szCs w:val="21"/>
        </w:rPr>
        <w:t>在收到通知后3日内没有弥补缺陷，</w:t>
      </w:r>
      <w:r>
        <w:rPr>
          <w:rFonts w:hint="eastAsia" w:ascii="宋体" w:hAnsi="宋体" w:cs="Arial"/>
          <w:color w:val="auto"/>
          <w:kern w:val="0"/>
          <w:szCs w:val="21"/>
        </w:rPr>
        <w:t>甲方</w:t>
      </w:r>
      <w:r>
        <w:rPr>
          <w:rFonts w:hint="eastAsia" w:ascii="宋体" w:hAnsi="宋体"/>
          <w:color w:val="auto"/>
          <w:szCs w:val="21"/>
        </w:rPr>
        <w:t>可采取必要的补救措施，但由此引发的风险和费用将由</w:t>
      </w:r>
      <w:r>
        <w:rPr>
          <w:rFonts w:hint="eastAsia" w:ascii="宋体" w:hAnsi="宋体" w:cs="Arial"/>
          <w:color w:val="auto"/>
          <w:kern w:val="0"/>
          <w:szCs w:val="21"/>
        </w:rPr>
        <w:t>乙方</w:t>
      </w:r>
      <w:r>
        <w:rPr>
          <w:rFonts w:hint="eastAsia" w:ascii="宋体" w:hAnsi="宋体"/>
          <w:color w:val="auto"/>
          <w:szCs w:val="21"/>
        </w:rPr>
        <w:t>承担。</w:t>
      </w:r>
    </w:p>
    <w:p>
      <w:pPr>
        <w:spacing w:line="400" w:lineRule="exact"/>
        <w:ind w:firstLine="420" w:firstLineChars="200"/>
        <w:rPr>
          <w:rFonts w:ascii="宋体" w:hAnsi="宋体"/>
          <w:color w:val="auto"/>
          <w:szCs w:val="21"/>
        </w:rPr>
      </w:pPr>
      <w:r>
        <w:rPr>
          <w:rFonts w:hint="eastAsia" w:ascii="宋体" w:hAnsi="宋体"/>
          <w:color w:val="auto"/>
          <w:szCs w:val="21"/>
        </w:rPr>
        <w:t>4、按生产厂家或国家有关的保修规定进行保修，并按投标文件中承诺的售后服务和保质、保修条件进行维修。在货物质量保证期之内，</w:t>
      </w:r>
      <w:r>
        <w:rPr>
          <w:rFonts w:hint="eastAsia" w:ascii="宋体" w:hAnsi="宋体" w:cs="Arial"/>
          <w:color w:val="auto"/>
          <w:kern w:val="0"/>
          <w:szCs w:val="21"/>
        </w:rPr>
        <w:t>乙方</w:t>
      </w:r>
      <w:r>
        <w:rPr>
          <w:rFonts w:hint="eastAsia" w:ascii="宋体" w:hAnsi="宋体"/>
          <w:color w:val="auto"/>
          <w:szCs w:val="21"/>
        </w:rPr>
        <w:t>须对由于设计、工艺或材料的缺陷而发生的任何不足或故障负责。</w:t>
      </w:r>
    </w:p>
    <w:p>
      <w:pPr>
        <w:spacing w:line="400" w:lineRule="exact"/>
        <w:ind w:firstLine="420" w:firstLineChars="200"/>
        <w:rPr>
          <w:rFonts w:ascii="宋体" w:hAnsi="宋体"/>
          <w:color w:val="auto"/>
          <w:szCs w:val="21"/>
        </w:rPr>
      </w:pPr>
      <w:r>
        <w:rPr>
          <w:rFonts w:hint="eastAsia" w:ascii="宋体" w:hAnsi="宋体" w:cs="Arial"/>
          <w:color w:val="auto"/>
          <w:kern w:val="0"/>
          <w:szCs w:val="21"/>
        </w:rPr>
        <w:t>5、合同履行期间及货物使用期内乙方应根据甲方的要求就货物的设计、制造、安装、调试、使用、维护及维修免费提供技术咨询。在货物寿命期内，乙方应备有足够的易损件供应，甲方要求订购备件或维修服务，乙方应能及时提供。</w:t>
      </w:r>
      <w:r>
        <w:rPr>
          <w:rFonts w:hint="eastAsia" w:ascii="宋体" w:hAnsi="宋体"/>
          <w:color w:val="auto"/>
          <w:szCs w:val="21"/>
        </w:rPr>
        <w:t>超过保修期后的维修只收取零配件成本费。</w:t>
      </w:r>
    </w:p>
    <w:p>
      <w:pPr>
        <w:widowControl/>
        <w:spacing w:beforeLines="50" w:line="400" w:lineRule="exact"/>
        <w:jc w:val="left"/>
        <w:rPr>
          <w:rFonts w:ascii="宋体" w:hAnsi="宋体" w:cs="Arial"/>
          <w:b/>
          <w:color w:val="auto"/>
          <w:kern w:val="0"/>
          <w:sz w:val="24"/>
        </w:rPr>
      </w:pPr>
      <w:r>
        <w:rPr>
          <w:rFonts w:hint="eastAsia" w:ascii="宋体" w:hAnsi="宋体" w:cs="Arial"/>
          <w:b/>
          <w:bCs/>
          <w:color w:val="auto"/>
          <w:kern w:val="0"/>
          <w:sz w:val="24"/>
        </w:rPr>
        <w:t>六、</w:t>
      </w:r>
      <w:r>
        <w:rPr>
          <w:rFonts w:hint="eastAsia" w:ascii="宋体" w:hAnsi="宋体" w:cs="Arial"/>
          <w:b/>
          <w:color w:val="auto"/>
          <w:kern w:val="0"/>
          <w:sz w:val="24"/>
        </w:rPr>
        <w:t>安装、验收及技术资料</w:t>
      </w:r>
    </w:p>
    <w:p>
      <w:pPr>
        <w:widowControl/>
        <w:snapToGrid w:val="0"/>
        <w:spacing w:line="40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1、乙方应在合同规定的日期内负责完成货物的安装、调试等工作，并及时约请甲方验收。凡调试所需的特殊或大宗的耗材、辅料，由乙方提供（含在合同总价中）。</w:t>
      </w:r>
    </w:p>
    <w:p>
      <w:pPr>
        <w:widowControl/>
        <w:snapToGrid w:val="0"/>
        <w:spacing w:line="40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2、乙方在安装期间要注意文明施工，因乙方的原因造成对甲方建筑物、构筑物、环保、绿化等破坏由乙方负责修复和赔偿。安装期间发生的货物丢失、损坏、人身伤害及治安问题等所产生的经济损失一概由乙方负责。</w:t>
      </w:r>
    </w:p>
    <w:p>
      <w:pPr>
        <w:spacing w:line="400" w:lineRule="exact"/>
        <w:ind w:firstLine="420" w:firstLineChars="200"/>
        <w:rPr>
          <w:rFonts w:ascii="宋体" w:hAnsi="宋体"/>
          <w:color w:val="auto"/>
          <w:szCs w:val="21"/>
        </w:rPr>
      </w:pPr>
      <w:r>
        <w:rPr>
          <w:rFonts w:hint="eastAsia" w:ascii="宋体" w:hAnsi="宋体" w:cs="Arial"/>
          <w:color w:val="auto"/>
          <w:kern w:val="0"/>
          <w:szCs w:val="21"/>
        </w:rPr>
        <w:t>3、乙方约请甲方验收前，乙方应对货物的</w:t>
      </w:r>
      <w:r>
        <w:rPr>
          <w:rFonts w:hint="eastAsia" w:ascii="宋体" w:hAnsi="宋体"/>
          <w:color w:val="auto"/>
          <w:szCs w:val="21"/>
        </w:rPr>
        <w:t>生产厂家、数量、型号</w:t>
      </w:r>
      <w:r>
        <w:rPr>
          <w:rFonts w:hint="eastAsia" w:ascii="宋体" w:hAnsi="宋体" w:cs="Arial"/>
          <w:color w:val="auto"/>
          <w:kern w:val="0"/>
          <w:szCs w:val="21"/>
        </w:rPr>
        <w:t>规格</w:t>
      </w:r>
      <w:r>
        <w:rPr>
          <w:rFonts w:hint="eastAsia" w:ascii="宋体" w:hAnsi="宋体"/>
          <w:color w:val="auto"/>
          <w:szCs w:val="21"/>
        </w:rPr>
        <w:t>、外观质量、</w:t>
      </w:r>
      <w:r>
        <w:rPr>
          <w:rFonts w:hint="eastAsia" w:ascii="宋体" w:hAnsi="宋体" w:cs="宋体"/>
          <w:color w:val="auto"/>
          <w:kern w:val="0"/>
          <w:szCs w:val="21"/>
        </w:rPr>
        <w:t>功能、</w:t>
      </w:r>
      <w:r>
        <w:rPr>
          <w:rFonts w:hint="eastAsia" w:ascii="宋体" w:hAnsi="宋体"/>
          <w:color w:val="auto"/>
          <w:szCs w:val="21"/>
        </w:rPr>
        <w:t>技术性能指标、技术资料等</w:t>
      </w:r>
      <w:r>
        <w:rPr>
          <w:rFonts w:hint="eastAsia" w:ascii="宋体" w:hAnsi="宋体" w:cs="Arial"/>
          <w:color w:val="auto"/>
          <w:kern w:val="0"/>
          <w:szCs w:val="21"/>
        </w:rPr>
        <w:t>进行详细而全面的核查和检验（必要时应派甲方的代表参与有关的验收试验），并出具一份证明货物符合合同规定的材料，供甲方验收时审查。</w:t>
      </w:r>
    </w:p>
    <w:p>
      <w:pPr>
        <w:spacing w:line="400" w:lineRule="exact"/>
        <w:ind w:firstLine="420" w:firstLineChars="200"/>
        <w:rPr>
          <w:rFonts w:ascii="宋体" w:hAnsi="宋体"/>
          <w:color w:val="auto"/>
        </w:rPr>
      </w:pPr>
      <w:r>
        <w:rPr>
          <w:rFonts w:hint="eastAsia" w:ascii="宋体" w:hAnsi="宋体"/>
          <w:color w:val="auto"/>
          <w:szCs w:val="21"/>
        </w:rPr>
        <w:t>4、货物的验收按国家有关标准或行业标准及合同要求进行，由</w:t>
      </w:r>
      <w:r>
        <w:rPr>
          <w:rFonts w:hint="eastAsia" w:ascii="宋体" w:hAnsi="宋体" w:cs="Arial"/>
          <w:color w:val="auto"/>
          <w:kern w:val="0"/>
          <w:szCs w:val="21"/>
        </w:rPr>
        <w:t>甲</w:t>
      </w:r>
      <w:r>
        <w:rPr>
          <w:rFonts w:hint="eastAsia" w:ascii="宋体" w:hAnsi="宋体"/>
          <w:color w:val="auto"/>
          <w:szCs w:val="21"/>
        </w:rPr>
        <w:t>、</w:t>
      </w:r>
      <w:r>
        <w:rPr>
          <w:rFonts w:hint="eastAsia" w:ascii="宋体" w:hAnsi="宋体" w:cs="Arial"/>
          <w:color w:val="auto"/>
          <w:kern w:val="0"/>
          <w:szCs w:val="21"/>
        </w:rPr>
        <w:t>乙双方代表</w:t>
      </w:r>
      <w:r>
        <w:rPr>
          <w:rFonts w:hint="eastAsia" w:ascii="宋体" w:hAnsi="宋体"/>
          <w:color w:val="auto"/>
          <w:szCs w:val="21"/>
        </w:rPr>
        <w:t>共同对货物进行检查验收，若验收合格，由</w:t>
      </w:r>
      <w:r>
        <w:rPr>
          <w:rFonts w:hint="eastAsia" w:ascii="宋体" w:hAnsi="宋体" w:cs="Arial"/>
          <w:color w:val="auto"/>
          <w:kern w:val="0"/>
          <w:szCs w:val="21"/>
        </w:rPr>
        <w:t>甲方出具验收合格证明单</w:t>
      </w:r>
      <w:r>
        <w:rPr>
          <w:rFonts w:hint="eastAsia" w:ascii="宋体" w:hAnsi="宋体"/>
          <w:color w:val="auto"/>
          <w:szCs w:val="21"/>
        </w:rPr>
        <w:t>。验收</w:t>
      </w:r>
      <w:r>
        <w:rPr>
          <w:rFonts w:hint="eastAsia" w:ascii="宋体" w:hAnsi="宋体"/>
          <w:bCs/>
          <w:color w:val="auto"/>
          <w:szCs w:val="21"/>
        </w:rPr>
        <w:t>过程中发现的问题，由</w:t>
      </w:r>
      <w:r>
        <w:rPr>
          <w:rFonts w:hint="eastAsia" w:ascii="宋体" w:hAnsi="宋体" w:cs="Arial"/>
          <w:color w:val="auto"/>
          <w:kern w:val="0"/>
          <w:szCs w:val="21"/>
        </w:rPr>
        <w:t>甲方发出整改通知书，乙方</w:t>
      </w:r>
      <w:r>
        <w:rPr>
          <w:rFonts w:hint="eastAsia" w:ascii="宋体" w:hAnsi="宋体"/>
          <w:bCs/>
          <w:color w:val="auto"/>
          <w:szCs w:val="21"/>
        </w:rPr>
        <w:t>应在规定的时间内及时完成整改事项。</w:t>
      </w:r>
      <w:r>
        <w:rPr>
          <w:rFonts w:hint="eastAsia" w:ascii="宋体" w:hAnsi="宋体" w:cs="Arial"/>
          <w:color w:val="auto"/>
          <w:kern w:val="0"/>
          <w:szCs w:val="21"/>
        </w:rPr>
        <w:t xml:space="preserve">   </w:t>
      </w:r>
    </w:p>
    <w:p>
      <w:pPr>
        <w:pStyle w:val="18"/>
        <w:adjustRightInd w:val="0"/>
        <w:snapToGrid w:val="0"/>
        <w:spacing w:line="400" w:lineRule="exact"/>
        <w:ind w:firstLine="420" w:firstLineChars="200"/>
        <w:rPr>
          <w:rFonts w:ascii="宋体" w:hAnsi="宋体"/>
          <w:bCs/>
          <w:color w:val="auto"/>
          <w:sz w:val="21"/>
          <w:szCs w:val="21"/>
        </w:rPr>
      </w:pPr>
      <w:r>
        <w:rPr>
          <w:rFonts w:hint="eastAsia" w:ascii="宋体" w:hAnsi="宋体"/>
          <w:bCs/>
          <w:color w:val="auto"/>
          <w:sz w:val="21"/>
          <w:szCs w:val="21"/>
        </w:rPr>
        <w:t>5、</w:t>
      </w:r>
      <w:r>
        <w:rPr>
          <w:rFonts w:hint="eastAsia" w:ascii="宋体" w:hAnsi="宋体" w:cs="Arial"/>
          <w:color w:val="auto"/>
          <w:kern w:val="0"/>
          <w:sz w:val="21"/>
          <w:szCs w:val="21"/>
        </w:rPr>
        <w:t>乙方</w:t>
      </w:r>
      <w:r>
        <w:rPr>
          <w:rFonts w:hint="eastAsia" w:ascii="宋体" w:hAnsi="宋体"/>
          <w:bCs/>
          <w:color w:val="auto"/>
          <w:sz w:val="21"/>
          <w:szCs w:val="21"/>
        </w:rPr>
        <w:t>应免费提供以下与合同货物相符的中文技术文件：</w:t>
      </w:r>
    </w:p>
    <w:p>
      <w:pPr>
        <w:snapToGrid w:val="0"/>
        <w:spacing w:line="400" w:lineRule="exact"/>
        <w:ind w:firstLine="630" w:firstLineChars="300"/>
        <w:rPr>
          <w:rFonts w:ascii="宋体" w:hAnsi="宋体"/>
          <w:bCs/>
          <w:color w:val="auto"/>
          <w:szCs w:val="21"/>
        </w:rPr>
      </w:pPr>
      <w:r>
        <w:rPr>
          <w:rFonts w:hint="eastAsia" w:ascii="宋体" w:hAnsi="宋体"/>
          <w:color w:val="auto"/>
          <w:szCs w:val="21"/>
        </w:rPr>
        <w:t>(1)产品样本</w:t>
      </w:r>
      <w:r>
        <w:rPr>
          <w:rFonts w:hint="eastAsia" w:ascii="宋体" w:hAnsi="宋体"/>
          <w:bCs/>
          <w:color w:val="auto"/>
          <w:szCs w:val="21"/>
        </w:rPr>
        <w:t>、图纸；</w:t>
      </w:r>
    </w:p>
    <w:p>
      <w:pPr>
        <w:snapToGrid w:val="0"/>
        <w:spacing w:line="400" w:lineRule="exact"/>
        <w:ind w:firstLine="630" w:firstLineChars="300"/>
        <w:rPr>
          <w:rFonts w:ascii="宋体" w:hAnsi="宋体"/>
          <w:color w:val="auto"/>
          <w:szCs w:val="21"/>
        </w:rPr>
      </w:pPr>
      <w:r>
        <w:rPr>
          <w:rFonts w:hint="eastAsia" w:ascii="宋体" w:hAnsi="宋体"/>
          <w:color w:val="auto"/>
          <w:szCs w:val="21"/>
        </w:rPr>
        <w:t xml:space="preserve">(2)生产许可证、出厂检验证、合格证； </w:t>
      </w:r>
    </w:p>
    <w:p>
      <w:pPr>
        <w:snapToGrid w:val="0"/>
        <w:spacing w:line="400" w:lineRule="exact"/>
        <w:ind w:firstLine="630" w:firstLineChars="300"/>
        <w:rPr>
          <w:rFonts w:ascii="宋体" w:hAnsi="宋体"/>
          <w:color w:val="auto"/>
          <w:szCs w:val="21"/>
        </w:rPr>
      </w:pPr>
      <w:r>
        <w:rPr>
          <w:rFonts w:hint="eastAsia" w:ascii="宋体" w:hAnsi="宋体"/>
          <w:color w:val="auto"/>
          <w:szCs w:val="21"/>
        </w:rPr>
        <w:t xml:space="preserve">(3)安装、调试、验收规范； </w:t>
      </w:r>
    </w:p>
    <w:p>
      <w:pPr>
        <w:snapToGrid w:val="0"/>
        <w:spacing w:line="400" w:lineRule="exact"/>
        <w:ind w:firstLine="630" w:firstLineChars="300"/>
        <w:rPr>
          <w:rFonts w:ascii="宋体" w:hAnsi="宋体"/>
          <w:color w:val="auto"/>
          <w:szCs w:val="21"/>
        </w:rPr>
      </w:pPr>
      <w:r>
        <w:rPr>
          <w:rFonts w:hint="eastAsia" w:ascii="宋体" w:hAnsi="宋体"/>
          <w:color w:val="auto"/>
          <w:szCs w:val="21"/>
        </w:rPr>
        <w:t>(4)安装调试说明书、使用说明书、操作手册、维护手册；</w:t>
      </w:r>
    </w:p>
    <w:p>
      <w:pPr>
        <w:snapToGrid w:val="0"/>
        <w:spacing w:line="400" w:lineRule="exact"/>
        <w:ind w:firstLine="630" w:firstLineChars="300"/>
        <w:rPr>
          <w:rFonts w:ascii="宋体" w:hAnsi="宋体"/>
          <w:color w:val="auto"/>
          <w:szCs w:val="21"/>
        </w:rPr>
      </w:pPr>
      <w:r>
        <w:rPr>
          <w:rFonts w:hint="eastAsia" w:ascii="宋体" w:hAnsi="宋体"/>
          <w:color w:val="auto"/>
          <w:szCs w:val="21"/>
        </w:rPr>
        <w:t>(5)需通过计量的货物必须提供国家有关计量部门颁发的计量许可证；</w:t>
      </w:r>
    </w:p>
    <w:p>
      <w:pPr>
        <w:snapToGrid w:val="0"/>
        <w:spacing w:line="400" w:lineRule="exact"/>
        <w:ind w:firstLine="630" w:firstLineChars="300"/>
        <w:rPr>
          <w:rFonts w:ascii="宋体" w:hAnsi="宋体"/>
          <w:color w:val="auto"/>
          <w:szCs w:val="21"/>
        </w:rPr>
      </w:pPr>
      <w:r>
        <w:rPr>
          <w:rFonts w:hint="eastAsia" w:ascii="宋体" w:hAnsi="宋体"/>
          <w:color w:val="auto"/>
          <w:szCs w:val="21"/>
        </w:rPr>
        <w:t>(6)其他有关技术资料等。</w:t>
      </w:r>
    </w:p>
    <w:p>
      <w:pPr>
        <w:widowControl/>
        <w:snapToGrid w:val="0"/>
        <w:spacing w:line="400" w:lineRule="exact"/>
        <w:ind w:firstLine="420" w:firstLineChars="200"/>
        <w:jc w:val="left"/>
        <w:rPr>
          <w:rFonts w:ascii="宋体" w:hAnsi="宋体" w:cs="Arial"/>
          <w:color w:val="auto"/>
          <w:kern w:val="0"/>
          <w:szCs w:val="21"/>
        </w:rPr>
      </w:pPr>
      <w:r>
        <w:rPr>
          <w:rFonts w:hint="eastAsia" w:ascii="宋体" w:hAnsi="宋体"/>
          <w:bCs/>
          <w:color w:val="auto"/>
          <w:szCs w:val="21"/>
        </w:rPr>
        <w:t>如上述资料不完整或丢失，</w:t>
      </w:r>
      <w:r>
        <w:rPr>
          <w:rFonts w:hint="eastAsia" w:ascii="宋体" w:hAnsi="宋体" w:cs="Arial"/>
          <w:color w:val="auto"/>
          <w:kern w:val="0"/>
          <w:szCs w:val="21"/>
        </w:rPr>
        <w:t>乙</w:t>
      </w:r>
      <w:r>
        <w:rPr>
          <w:rFonts w:hint="eastAsia" w:ascii="宋体" w:hAnsi="宋体"/>
          <w:bCs/>
          <w:color w:val="auto"/>
          <w:szCs w:val="21"/>
        </w:rPr>
        <w:t>方应在收到</w:t>
      </w:r>
      <w:r>
        <w:rPr>
          <w:rFonts w:hint="eastAsia" w:ascii="宋体" w:hAnsi="宋体" w:cs="Arial"/>
          <w:color w:val="auto"/>
          <w:kern w:val="0"/>
          <w:szCs w:val="21"/>
        </w:rPr>
        <w:t>甲</w:t>
      </w:r>
      <w:r>
        <w:rPr>
          <w:rFonts w:hint="eastAsia" w:ascii="宋体" w:hAnsi="宋体"/>
          <w:bCs/>
          <w:color w:val="auto"/>
          <w:szCs w:val="21"/>
        </w:rPr>
        <w:t>方通知后及时免费提供。</w:t>
      </w:r>
      <w:r>
        <w:rPr>
          <w:rFonts w:hint="eastAsia" w:ascii="宋体" w:hAnsi="宋体" w:cs="Arial"/>
          <w:color w:val="auto"/>
          <w:kern w:val="0"/>
          <w:szCs w:val="21"/>
        </w:rPr>
        <w:t xml:space="preserve"> </w:t>
      </w:r>
    </w:p>
    <w:p>
      <w:pPr>
        <w:widowControl/>
        <w:spacing w:beforeLines="50" w:line="360" w:lineRule="auto"/>
        <w:jc w:val="left"/>
        <w:rPr>
          <w:rFonts w:ascii="宋体" w:hAnsi="宋体" w:cs="Arial"/>
          <w:color w:val="auto"/>
          <w:kern w:val="0"/>
          <w:sz w:val="18"/>
          <w:szCs w:val="18"/>
        </w:rPr>
      </w:pPr>
      <w:r>
        <w:rPr>
          <w:rFonts w:hint="eastAsia" w:ascii="宋体" w:hAnsi="宋体" w:cs="Arial"/>
          <w:b/>
          <w:bCs/>
          <w:color w:val="auto"/>
          <w:kern w:val="0"/>
          <w:sz w:val="24"/>
        </w:rPr>
        <w:t>七、违约责任</w:t>
      </w:r>
    </w:p>
    <w:p>
      <w:pPr>
        <w:widowControl/>
        <w:snapToGrid w:val="0"/>
        <w:spacing w:line="40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1、在履行合同过程中，如果乙方遇到不能按时交货和提供服务的情况，应及时以书面形式将不能按时交货的理由、延误时间通知甲方。甲方在收到乙方通知后，如果同意，可通过签订补充协议，酌情延长交货时间。</w:t>
      </w:r>
    </w:p>
    <w:p>
      <w:pPr>
        <w:widowControl/>
        <w:spacing w:line="40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2、如果乙方没有按照合同规定的时间交货和提供服务，同时又没有征得</w:t>
      </w:r>
      <w:r>
        <w:rPr>
          <w:rFonts w:hint="eastAsia" w:ascii="宋体" w:hAnsi="宋体"/>
          <w:color w:val="auto"/>
        </w:rPr>
        <w:t>甲方同意</w:t>
      </w:r>
      <w:r>
        <w:rPr>
          <w:rFonts w:hint="eastAsia" w:ascii="宋体" w:hAnsi="宋体" w:cs="Arial"/>
          <w:color w:val="auto"/>
          <w:kern w:val="0"/>
          <w:szCs w:val="21"/>
        </w:rPr>
        <w:t>延长交货时间，甲方可从货款中扣除违约赔偿费，赔偿费应按每迟交一周，按合同总价的0.5%计收。但违约赔偿费的最高限额为迟交货物或没有提供服务的合同价的5%。一周按7天计算，不足7天按一周计算。如果乙方在达到最高限额后仍不能交货，甲方可考虑终止合同。</w:t>
      </w:r>
    </w:p>
    <w:p>
      <w:pPr>
        <w:widowControl/>
        <w:spacing w:line="40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3、如果乙方无正当理由拖延交货，将受到以下制裁：加收违约损失赔偿或终止合同。</w:t>
      </w:r>
    </w:p>
    <w:p>
      <w:pPr>
        <w:widowControl/>
        <w:spacing w:line="400" w:lineRule="exact"/>
        <w:ind w:firstLine="420" w:firstLineChars="200"/>
        <w:jc w:val="left"/>
        <w:rPr>
          <w:rFonts w:ascii="宋体" w:hAnsi="宋体"/>
          <w:color w:val="auto"/>
        </w:rPr>
      </w:pPr>
      <w:r>
        <w:rPr>
          <w:rFonts w:hint="eastAsia" w:ascii="宋体" w:hAnsi="宋体"/>
          <w:color w:val="auto"/>
        </w:rPr>
        <w:t>4、如</w:t>
      </w:r>
      <w:r>
        <w:rPr>
          <w:rFonts w:hint="eastAsia" w:ascii="宋体" w:hAnsi="宋体" w:cs="Arial"/>
          <w:color w:val="auto"/>
          <w:kern w:val="0"/>
        </w:rPr>
        <w:t>乙方</w:t>
      </w:r>
      <w:r>
        <w:rPr>
          <w:rFonts w:hint="eastAsia" w:ascii="宋体" w:hAnsi="宋体"/>
          <w:color w:val="auto"/>
        </w:rPr>
        <w:t>所提供的货物的生产厂家、型号、规格、质量等不符合合同规定标准或发现有更换原装配置的，</w:t>
      </w:r>
      <w:r>
        <w:rPr>
          <w:rFonts w:hint="eastAsia" w:ascii="宋体" w:hAnsi="宋体" w:cs="Arial"/>
          <w:color w:val="auto"/>
          <w:kern w:val="0"/>
        </w:rPr>
        <w:t>甲方</w:t>
      </w:r>
      <w:r>
        <w:rPr>
          <w:rFonts w:hint="eastAsia" w:ascii="宋体" w:hAnsi="宋体"/>
          <w:color w:val="auto"/>
        </w:rPr>
        <w:t>有权拒收，</w:t>
      </w:r>
      <w:r>
        <w:rPr>
          <w:rFonts w:hint="eastAsia" w:ascii="宋体" w:hAnsi="宋体" w:cs="Arial"/>
          <w:color w:val="auto"/>
          <w:kern w:val="0"/>
        </w:rPr>
        <w:t>乙方</w:t>
      </w:r>
      <w:r>
        <w:rPr>
          <w:rFonts w:hint="eastAsia" w:ascii="宋体" w:hAnsi="宋体"/>
          <w:color w:val="auto"/>
        </w:rPr>
        <w:t>应及时予以更换或退货（如有预付款，应同时退还</w:t>
      </w:r>
      <w:r>
        <w:rPr>
          <w:rFonts w:hint="eastAsia" w:ascii="宋体" w:hAnsi="宋体" w:cs="Arial"/>
          <w:color w:val="auto"/>
          <w:kern w:val="0"/>
        </w:rPr>
        <w:t>甲方的货</w:t>
      </w:r>
      <w:r>
        <w:rPr>
          <w:rFonts w:hint="eastAsia" w:ascii="宋体" w:hAnsi="宋体"/>
          <w:color w:val="auto"/>
        </w:rPr>
        <w:t>款），并承担由此而发生的一切损失和费用。否则，甲方有权向乙方提出索赔。</w:t>
      </w:r>
    </w:p>
    <w:p>
      <w:pPr>
        <w:widowControl/>
        <w:spacing w:line="400" w:lineRule="exact"/>
        <w:ind w:firstLine="420" w:firstLineChars="200"/>
        <w:jc w:val="left"/>
        <w:rPr>
          <w:rFonts w:ascii="宋体" w:hAnsi="宋体"/>
          <w:color w:val="auto"/>
        </w:rPr>
      </w:pPr>
      <w:r>
        <w:rPr>
          <w:rFonts w:hint="eastAsia" w:ascii="宋体" w:hAnsi="宋体"/>
          <w:color w:val="auto"/>
        </w:rPr>
        <w:t>5、在甲方发出索赔通知后30天内，如乙方未作答复，视为甲方提出的索赔要求已被乙方接受。如乙方未能在甲方提出索赔通知后30天内或甲方同意的更长时间内解决索赔事宜，甲方将从合同款中扣回索赔金额。如果这些金额不足以补偿索赔金额，甲方有权向乙方提出不足部分的补偿。</w:t>
      </w:r>
      <w:bookmarkStart w:id="205" w:name="_Toc334110209"/>
    </w:p>
    <w:p>
      <w:pPr>
        <w:widowControl/>
        <w:spacing w:beforeLines="50" w:line="400" w:lineRule="exact"/>
        <w:jc w:val="left"/>
        <w:rPr>
          <w:rFonts w:ascii="宋体" w:hAnsi="宋体"/>
          <w:color w:val="auto"/>
        </w:rPr>
      </w:pPr>
      <w:r>
        <w:rPr>
          <w:rFonts w:hint="eastAsia" w:ascii="宋体" w:hAnsi="宋体"/>
          <w:b/>
          <w:color w:val="auto"/>
          <w:sz w:val="24"/>
        </w:rPr>
        <w:t>八、不可抗力</w:t>
      </w:r>
      <w:bookmarkEnd w:id="205"/>
    </w:p>
    <w:p>
      <w:pPr>
        <w:pStyle w:val="18"/>
        <w:adjustRightInd w:val="0"/>
        <w:snapToGrid w:val="0"/>
        <w:spacing w:line="400" w:lineRule="exact"/>
        <w:ind w:firstLine="420" w:firstLineChars="200"/>
        <w:rPr>
          <w:rFonts w:ascii="宋体" w:hAnsi="宋体"/>
          <w:bCs/>
          <w:color w:val="auto"/>
          <w:sz w:val="21"/>
          <w:szCs w:val="21"/>
        </w:rPr>
      </w:pPr>
      <w:r>
        <w:rPr>
          <w:rFonts w:hint="eastAsia" w:ascii="宋体" w:hAnsi="宋体"/>
          <w:bCs/>
          <w:color w:val="auto"/>
          <w:sz w:val="21"/>
          <w:szCs w:val="21"/>
        </w:rPr>
        <w:t>1、如果双方中任何一方由于战争、严重火灾、水灾、台风和地震以及其它经双方同意属于不可抗力的事故，致使合同履行受阻时，履行合同的期限应予延长，延长的期限应相当于事故所影响的时间。</w:t>
      </w:r>
    </w:p>
    <w:p>
      <w:pPr>
        <w:widowControl/>
        <w:spacing w:line="400" w:lineRule="exact"/>
        <w:ind w:firstLine="420" w:firstLineChars="200"/>
        <w:jc w:val="left"/>
        <w:rPr>
          <w:rFonts w:ascii="宋体" w:hAnsi="宋体"/>
          <w:color w:val="auto"/>
        </w:rPr>
      </w:pPr>
      <w:r>
        <w:rPr>
          <w:rFonts w:hint="eastAsia" w:ascii="宋体" w:hAnsi="宋体"/>
          <w:color w:val="auto"/>
        </w:rPr>
        <w:t>2、受事故影响的一方应在不可抗力的事故发生后尽快以书面形式通知另一方，并在事故发生后14天内，将有关部门出具的证明文件用快递寄给或送给另一方。如果不可抗力影响时间延续40天以上的，双方应通过友好协商在合理的时间内达成进一步履行合同的协议。</w:t>
      </w:r>
      <w:bookmarkStart w:id="206" w:name="_Toc334110211"/>
    </w:p>
    <w:p>
      <w:pPr>
        <w:pStyle w:val="18"/>
        <w:adjustRightInd w:val="0"/>
        <w:snapToGrid w:val="0"/>
        <w:spacing w:line="400" w:lineRule="exact"/>
        <w:rPr>
          <w:rFonts w:ascii="宋体" w:hAnsi="宋体"/>
          <w:bCs/>
          <w:color w:val="auto"/>
          <w:sz w:val="21"/>
          <w:szCs w:val="21"/>
        </w:rPr>
      </w:pPr>
      <w:r>
        <w:rPr>
          <w:rFonts w:hint="eastAsia" w:ascii="宋体" w:hAnsi="宋体"/>
          <w:b/>
          <w:color w:val="auto"/>
        </w:rPr>
        <w:t>九、</w:t>
      </w:r>
      <w:bookmarkEnd w:id="206"/>
      <w:r>
        <w:rPr>
          <w:rFonts w:hint="eastAsia" w:ascii="宋体" w:hAnsi="宋体"/>
          <w:b/>
          <w:color w:val="auto"/>
          <w:szCs w:val="24"/>
        </w:rPr>
        <w:t>合同终止</w:t>
      </w:r>
    </w:p>
    <w:p>
      <w:pPr>
        <w:pStyle w:val="18"/>
        <w:adjustRightInd w:val="0"/>
        <w:snapToGrid w:val="0"/>
        <w:spacing w:line="400" w:lineRule="exact"/>
        <w:ind w:firstLine="315" w:firstLineChars="150"/>
        <w:rPr>
          <w:rFonts w:ascii="宋体" w:hAnsi="宋体"/>
          <w:color w:val="auto"/>
          <w:sz w:val="21"/>
          <w:szCs w:val="21"/>
        </w:rPr>
      </w:pPr>
      <w:r>
        <w:rPr>
          <w:rFonts w:hint="eastAsia" w:ascii="宋体" w:hAnsi="宋体"/>
          <w:color w:val="auto"/>
          <w:sz w:val="21"/>
          <w:szCs w:val="21"/>
        </w:rPr>
        <w:t>1、</w:t>
      </w:r>
      <w:r>
        <w:rPr>
          <w:rFonts w:hint="eastAsia" w:ascii="宋体" w:hAnsi="宋体"/>
          <w:bCs/>
          <w:color w:val="auto"/>
          <w:sz w:val="21"/>
          <w:szCs w:val="21"/>
        </w:rPr>
        <w:t>除不可抗力的原因外，乙方在履行合同的过程中出现以下违约情况之一时，</w:t>
      </w:r>
      <w:r>
        <w:rPr>
          <w:rFonts w:hint="eastAsia" w:ascii="宋体" w:hAnsi="宋体"/>
          <w:color w:val="auto"/>
          <w:sz w:val="21"/>
          <w:szCs w:val="21"/>
        </w:rPr>
        <w:t>甲方可向乙方发出书面通知，终止部分或全部合同，且</w:t>
      </w:r>
      <w:r>
        <w:rPr>
          <w:rFonts w:hint="eastAsia" w:ascii="宋体" w:hAnsi="宋体"/>
          <w:bCs/>
          <w:color w:val="auto"/>
          <w:sz w:val="21"/>
          <w:szCs w:val="21"/>
        </w:rPr>
        <w:t>不影响甲方向乙方提出索赔。</w:t>
      </w:r>
    </w:p>
    <w:p>
      <w:pPr>
        <w:pStyle w:val="18"/>
        <w:adjustRightInd w:val="0"/>
        <w:snapToGrid w:val="0"/>
        <w:spacing w:line="400" w:lineRule="exact"/>
        <w:ind w:firstLine="210" w:firstLineChars="100"/>
        <w:rPr>
          <w:rFonts w:ascii="宋体" w:hAnsi="宋体"/>
          <w:color w:val="auto"/>
          <w:sz w:val="21"/>
          <w:szCs w:val="21"/>
        </w:rPr>
      </w:pPr>
      <w:r>
        <w:rPr>
          <w:rFonts w:hint="eastAsia" w:ascii="宋体" w:hAnsi="宋体"/>
          <w:color w:val="auto"/>
          <w:sz w:val="21"/>
          <w:szCs w:val="21"/>
        </w:rPr>
        <w:t>（1）乙方未能在合同规定的限期或甲方同意延长的限期内提供全部或部分货物。</w:t>
      </w:r>
    </w:p>
    <w:p>
      <w:pPr>
        <w:pStyle w:val="18"/>
        <w:adjustRightInd w:val="0"/>
        <w:snapToGrid w:val="0"/>
        <w:spacing w:line="400" w:lineRule="exact"/>
        <w:ind w:firstLine="210" w:firstLineChars="100"/>
        <w:rPr>
          <w:rFonts w:ascii="宋体" w:hAnsi="宋体"/>
          <w:color w:val="auto"/>
          <w:sz w:val="21"/>
          <w:szCs w:val="21"/>
        </w:rPr>
      </w:pPr>
      <w:r>
        <w:rPr>
          <w:rFonts w:hint="eastAsia" w:ascii="宋体" w:hAnsi="宋体"/>
          <w:color w:val="auto"/>
          <w:sz w:val="21"/>
          <w:szCs w:val="21"/>
        </w:rPr>
        <w:t>（2）乙方未能履行合同规定的其它义务，在收到甲方发出的违约通知后3天内，或经甲方书面认可同意延长的时间内未能纠正其过失。</w:t>
      </w:r>
    </w:p>
    <w:p>
      <w:pPr>
        <w:pStyle w:val="18"/>
        <w:adjustRightInd w:val="0"/>
        <w:snapToGrid w:val="0"/>
        <w:spacing w:line="400" w:lineRule="exact"/>
        <w:ind w:firstLine="420" w:firstLineChars="200"/>
        <w:rPr>
          <w:rFonts w:ascii="宋体" w:hAnsi="宋体"/>
          <w:bCs/>
          <w:color w:val="auto"/>
          <w:sz w:val="21"/>
          <w:szCs w:val="21"/>
        </w:rPr>
      </w:pPr>
      <w:r>
        <w:rPr>
          <w:rFonts w:hint="eastAsia" w:ascii="宋体" w:hAnsi="宋体"/>
          <w:bCs/>
          <w:color w:val="auto"/>
          <w:sz w:val="21"/>
          <w:szCs w:val="21"/>
        </w:rPr>
        <w:t>2、根据上述条款规定终止的全部或部分合同，甲方可以依其认为适当的条件和方法购买与未交货物类似的货物，乙方应对购买类似货物所超出的费用负责，且乙方应继续执行合同中未终止的部分。</w:t>
      </w:r>
    </w:p>
    <w:p>
      <w:pPr>
        <w:pStyle w:val="18"/>
        <w:adjustRightInd w:val="0"/>
        <w:snapToGrid w:val="0"/>
        <w:spacing w:line="400" w:lineRule="exact"/>
        <w:ind w:firstLine="420" w:firstLineChars="200"/>
        <w:rPr>
          <w:rFonts w:ascii="宋体" w:hAnsi="宋体"/>
          <w:bCs/>
          <w:color w:val="auto"/>
          <w:sz w:val="21"/>
          <w:szCs w:val="21"/>
        </w:rPr>
      </w:pPr>
      <w:r>
        <w:rPr>
          <w:rFonts w:hint="eastAsia" w:ascii="宋体" w:hAnsi="宋体"/>
          <w:bCs/>
          <w:color w:val="auto"/>
          <w:sz w:val="21"/>
          <w:szCs w:val="21"/>
        </w:rPr>
        <w:t>3、如果乙方破产或无清偿能力时，甲方可在任何时候以书面形式通知乙方终止合同，终止合同将不损害或影响甲方已经采取或将要采取补救措施的权利。</w:t>
      </w:r>
    </w:p>
    <w:p>
      <w:pPr>
        <w:widowControl/>
        <w:spacing w:beforeLines="50" w:line="400" w:lineRule="exact"/>
        <w:jc w:val="left"/>
        <w:rPr>
          <w:rFonts w:ascii="宋体" w:hAnsi="宋体" w:cs="Arial"/>
          <w:color w:val="auto"/>
          <w:kern w:val="0"/>
          <w:szCs w:val="21"/>
        </w:rPr>
      </w:pPr>
      <w:r>
        <w:rPr>
          <w:rFonts w:hint="eastAsia" w:ascii="宋体" w:hAnsi="宋体" w:cs="Arial"/>
          <w:b/>
          <w:bCs/>
          <w:color w:val="auto"/>
          <w:kern w:val="0"/>
          <w:sz w:val="24"/>
        </w:rPr>
        <w:t>十、</w:t>
      </w:r>
      <w:r>
        <w:rPr>
          <w:rFonts w:hint="eastAsia" w:ascii="宋体" w:hAnsi="宋体"/>
          <w:b/>
          <w:color w:val="auto"/>
        </w:rPr>
        <w:t>合同纠纷解决方式</w:t>
      </w:r>
    </w:p>
    <w:p>
      <w:pPr>
        <w:adjustRightInd w:val="0"/>
        <w:snapToGrid w:val="0"/>
        <w:spacing w:beforeLines="50" w:line="360" w:lineRule="auto"/>
        <w:ind w:firstLine="840" w:firstLineChars="400"/>
        <w:rPr>
          <w:rFonts w:ascii="宋体" w:hAnsi="宋体"/>
          <w:color w:val="auto"/>
          <w:sz w:val="24"/>
        </w:rPr>
      </w:pPr>
      <w:r>
        <w:rPr>
          <w:rFonts w:hint="eastAsia" w:ascii="宋体" w:hAnsi="宋体" w:cs="宋体"/>
          <w:color w:val="auto"/>
          <w:kern w:val="0"/>
          <w:szCs w:val="21"/>
        </w:rPr>
        <w:t>甲</w:t>
      </w:r>
      <w:r>
        <w:rPr>
          <w:rFonts w:hint="eastAsia" w:ascii="宋体" w:hAnsi="宋体" w:cs="宋体"/>
          <w:color w:val="auto"/>
          <w:szCs w:val="21"/>
        </w:rPr>
        <w:t>、</w:t>
      </w:r>
      <w:r>
        <w:rPr>
          <w:rFonts w:hint="eastAsia" w:ascii="宋体" w:hAnsi="宋体" w:cs="宋体"/>
          <w:color w:val="auto"/>
          <w:kern w:val="0"/>
          <w:szCs w:val="21"/>
        </w:rPr>
        <w:t>乙双方应通过友好协商，解决在执行本合同中所发生的或与本合同有关的一切争端，如果协商仍得不到解决，</w:t>
      </w:r>
      <w:r>
        <w:rPr>
          <w:rFonts w:hint="eastAsia" w:ascii="宋体" w:hAnsi="宋体"/>
          <w:color w:val="auto"/>
          <w:sz w:val="24"/>
        </w:rPr>
        <w:t>则通过向人民法院提起诉讼解决纠纷。</w:t>
      </w:r>
    </w:p>
    <w:p>
      <w:pPr>
        <w:widowControl/>
        <w:spacing w:beforeLines="50" w:line="360" w:lineRule="auto"/>
        <w:jc w:val="left"/>
        <w:rPr>
          <w:rFonts w:ascii="宋体" w:hAnsi="宋体" w:cs="Arial"/>
          <w:color w:val="auto"/>
          <w:kern w:val="0"/>
          <w:sz w:val="18"/>
          <w:szCs w:val="18"/>
        </w:rPr>
      </w:pPr>
      <w:r>
        <w:rPr>
          <w:rFonts w:hint="eastAsia" w:ascii="宋体" w:hAnsi="宋体" w:cs="Arial"/>
          <w:b/>
          <w:bCs/>
          <w:color w:val="auto"/>
          <w:kern w:val="0"/>
          <w:sz w:val="24"/>
        </w:rPr>
        <w:t>十一、合同生效及其它</w:t>
      </w:r>
    </w:p>
    <w:p>
      <w:pPr>
        <w:widowControl/>
        <w:spacing w:line="40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1、本合同自甲</w:t>
      </w:r>
      <w:r>
        <w:rPr>
          <w:rFonts w:hint="eastAsia" w:ascii="宋体" w:hAnsi="宋体"/>
          <w:color w:val="auto"/>
          <w:szCs w:val="21"/>
        </w:rPr>
        <w:t>、</w:t>
      </w:r>
      <w:r>
        <w:rPr>
          <w:rFonts w:hint="eastAsia" w:ascii="宋体" w:hAnsi="宋体" w:cs="Arial"/>
          <w:color w:val="auto"/>
          <w:kern w:val="0"/>
          <w:szCs w:val="21"/>
        </w:rPr>
        <w:t>乙双方签字盖章之日起生效。</w:t>
      </w:r>
    </w:p>
    <w:p>
      <w:pPr>
        <w:widowControl/>
        <w:spacing w:line="400" w:lineRule="exact"/>
        <w:ind w:firstLine="420" w:firstLineChars="200"/>
        <w:jc w:val="left"/>
        <w:rPr>
          <w:rFonts w:ascii="宋体" w:hAnsi="宋体" w:cs="Arial"/>
          <w:color w:val="auto"/>
          <w:kern w:val="0"/>
          <w:sz w:val="18"/>
          <w:szCs w:val="18"/>
        </w:rPr>
      </w:pPr>
      <w:r>
        <w:rPr>
          <w:rFonts w:hint="eastAsia" w:ascii="宋体" w:hAnsi="宋体" w:cs="Arial"/>
          <w:color w:val="auto"/>
          <w:kern w:val="0"/>
          <w:szCs w:val="21"/>
        </w:rPr>
        <w:t>2、本合同一式六份，甲方四份、乙方二份，具有同等法律效力。</w:t>
      </w:r>
    </w:p>
    <w:p>
      <w:pPr>
        <w:widowControl/>
        <w:spacing w:line="40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3、本合同货物的供货技术规格书、招标文件、投标文件及其附件、询标答疑书及</w:t>
      </w:r>
      <w:r>
        <w:rPr>
          <w:rFonts w:hint="eastAsia" w:ascii="宋体" w:hAnsi="宋体"/>
          <w:color w:val="auto"/>
        </w:rPr>
        <w:t>中标通知书等</w:t>
      </w:r>
      <w:r>
        <w:rPr>
          <w:rFonts w:hint="eastAsia" w:ascii="宋体" w:hAnsi="宋体" w:cs="Arial"/>
          <w:color w:val="auto"/>
          <w:kern w:val="0"/>
          <w:szCs w:val="21"/>
        </w:rPr>
        <w:t>作为本合同附件，具有与本合同同等法律效力。</w:t>
      </w:r>
    </w:p>
    <w:p>
      <w:pPr>
        <w:pStyle w:val="18"/>
        <w:adjustRightInd w:val="0"/>
        <w:snapToGrid w:val="0"/>
        <w:spacing w:line="400" w:lineRule="exact"/>
        <w:ind w:firstLine="480" w:firstLineChars="200"/>
        <w:rPr>
          <w:rFonts w:ascii="宋体" w:hAnsi="宋体"/>
          <w:bCs/>
          <w:color w:val="auto"/>
          <w:sz w:val="21"/>
          <w:szCs w:val="21"/>
        </w:rPr>
      </w:pPr>
      <w:r>
        <w:rPr>
          <w:rFonts w:hint="eastAsia" w:ascii="宋体" w:hAnsi="宋体" w:cs="Arial"/>
          <w:color w:val="auto"/>
          <w:kern w:val="0"/>
          <w:szCs w:val="21"/>
        </w:rPr>
        <w:t>4、</w:t>
      </w:r>
      <w:r>
        <w:rPr>
          <w:rFonts w:hint="eastAsia" w:ascii="宋体" w:hAnsi="宋体"/>
          <w:bCs/>
          <w:color w:val="auto"/>
          <w:sz w:val="21"/>
          <w:szCs w:val="21"/>
        </w:rPr>
        <w:t>本合同</w:t>
      </w:r>
      <w:r>
        <w:rPr>
          <w:rFonts w:hint="eastAsia" w:ascii="宋体" w:hAnsi="宋体" w:cs="Arial"/>
          <w:color w:val="auto"/>
          <w:kern w:val="0"/>
          <w:sz w:val="21"/>
          <w:szCs w:val="21"/>
        </w:rPr>
        <w:t>甲</w:t>
      </w:r>
      <w:r>
        <w:rPr>
          <w:rFonts w:hint="eastAsia" w:ascii="宋体" w:hAnsi="宋体"/>
          <w:color w:val="auto"/>
          <w:sz w:val="21"/>
          <w:szCs w:val="21"/>
        </w:rPr>
        <w:t>、</w:t>
      </w:r>
      <w:r>
        <w:rPr>
          <w:rFonts w:hint="eastAsia" w:ascii="宋体" w:hAnsi="宋体" w:cs="Arial"/>
          <w:color w:val="auto"/>
          <w:kern w:val="0"/>
          <w:sz w:val="21"/>
          <w:szCs w:val="21"/>
        </w:rPr>
        <w:t>乙</w:t>
      </w:r>
      <w:r>
        <w:rPr>
          <w:rFonts w:hint="eastAsia" w:ascii="宋体" w:hAnsi="宋体"/>
          <w:bCs/>
          <w:color w:val="auto"/>
          <w:sz w:val="21"/>
          <w:szCs w:val="21"/>
        </w:rPr>
        <w:t>双方之间的通知等，都应以书面的形式发送和确认。</w:t>
      </w:r>
    </w:p>
    <w:p>
      <w:pPr>
        <w:pStyle w:val="18"/>
        <w:adjustRightInd w:val="0"/>
        <w:snapToGrid w:val="0"/>
        <w:spacing w:line="400" w:lineRule="exact"/>
        <w:ind w:firstLine="480" w:firstLineChars="200"/>
        <w:rPr>
          <w:rFonts w:ascii="宋体" w:hAnsi="宋体" w:cs="Arial"/>
          <w:color w:val="auto"/>
          <w:kern w:val="0"/>
          <w:szCs w:val="21"/>
        </w:rPr>
      </w:pPr>
    </w:p>
    <w:p>
      <w:pPr>
        <w:widowControl/>
        <w:spacing w:line="400" w:lineRule="exact"/>
        <w:ind w:firstLine="420" w:firstLineChars="200"/>
        <w:jc w:val="left"/>
        <w:rPr>
          <w:rFonts w:ascii="宋体" w:hAnsi="宋体" w:cs="Arial"/>
          <w:color w:val="auto"/>
          <w:kern w:val="0"/>
          <w:szCs w:val="21"/>
        </w:rPr>
      </w:pPr>
    </w:p>
    <w:p>
      <w:pPr>
        <w:spacing w:line="400" w:lineRule="exact"/>
        <w:ind w:firstLine="420" w:firstLineChars="200"/>
        <w:rPr>
          <w:rFonts w:ascii="宋体" w:hAnsi="宋体"/>
          <w:color w:val="auto"/>
        </w:rPr>
      </w:pPr>
      <w:r>
        <w:rPr>
          <w:rFonts w:hint="eastAsia" w:ascii="宋体" w:hAnsi="宋体"/>
          <w:color w:val="auto"/>
        </w:rPr>
        <w:t>甲      方：（公章）                  乙      方：（公章）</w:t>
      </w:r>
    </w:p>
    <w:p>
      <w:pPr>
        <w:spacing w:line="400" w:lineRule="exact"/>
        <w:ind w:firstLine="399" w:firstLineChars="150"/>
        <w:rPr>
          <w:rFonts w:ascii="宋体" w:hAnsi="宋体"/>
          <w:color w:val="auto"/>
        </w:rPr>
      </w:pPr>
      <w:r>
        <w:rPr>
          <w:rFonts w:hint="eastAsia" w:ascii="宋体" w:hAnsi="宋体"/>
          <w:color w:val="auto"/>
          <w:spacing w:val="28"/>
          <w:szCs w:val="21"/>
        </w:rPr>
        <w:t>单位地址：</w:t>
      </w:r>
      <w:r>
        <w:rPr>
          <w:rFonts w:hint="eastAsia" w:ascii="宋体" w:hAnsi="宋体"/>
          <w:color w:val="auto"/>
        </w:rPr>
        <w:t xml:space="preserve">                         </w:t>
      </w:r>
      <w:r>
        <w:rPr>
          <w:rFonts w:hint="eastAsia" w:ascii="宋体" w:hAnsi="宋体"/>
          <w:color w:val="auto"/>
          <w:spacing w:val="28"/>
          <w:szCs w:val="21"/>
        </w:rPr>
        <w:t>单位地址：</w:t>
      </w:r>
    </w:p>
    <w:p>
      <w:pPr>
        <w:spacing w:line="400" w:lineRule="exact"/>
        <w:ind w:firstLine="420" w:firstLineChars="200"/>
        <w:rPr>
          <w:rFonts w:ascii="宋体" w:hAnsi="宋体"/>
          <w:color w:val="auto"/>
        </w:rPr>
      </w:pPr>
      <w:r>
        <w:rPr>
          <w:rFonts w:hint="eastAsia" w:ascii="宋体" w:hAnsi="宋体"/>
          <w:color w:val="auto"/>
        </w:rPr>
        <w:t>委托代理人：                          委托代理人：</w:t>
      </w:r>
    </w:p>
    <w:p>
      <w:pPr>
        <w:spacing w:line="400" w:lineRule="exact"/>
        <w:ind w:left="-6" w:leftChars="-3" w:firstLine="399" w:firstLineChars="150"/>
        <w:rPr>
          <w:rFonts w:ascii="宋体" w:hAnsi="宋体"/>
          <w:color w:val="auto"/>
        </w:rPr>
      </w:pPr>
      <w:r>
        <w:rPr>
          <w:rFonts w:hint="eastAsia" w:ascii="宋体" w:hAnsi="宋体"/>
          <w:color w:val="auto"/>
          <w:spacing w:val="28"/>
          <w:szCs w:val="21"/>
        </w:rPr>
        <w:t>开户银行：</w:t>
      </w:r>
      <w:r>
        <w:rPr>
          <w:rFonts w:hint="eastAsia" w:ascii="宋体" w:hAnsi="宋体"/>
          <w:color w:val="auto"/>
        </w:rPr>
        <w:t xml:space="preserve">                         </w:t>
      </w:r>
      <w:r>
        <w:rPr>
          <w:rFonts w:hint="eastAsia" w:ascii="宋体" w:hAnsi="宋体"/>
          <w:color w:val="auto"/>
          <w:spacing w:val="28"/>
          <w:szCs w:val="21"/>
        </w:rPr>
        <w:t>开户银行：</w:t>
      </w:r>
    </w:p>
    <w:p>
      <w:pPr>
        <w:spacing w:line="400" w:lineRule="exact"/>
        <w:ind w:firstLine="420" w:firstLineChars="200"/>
        <w:rPr>
          <w:rFonts w:ascii="宋体" w:hAnsi="宋体"/>
          <w:color w:val="auto"/>
        </w:rPr>
      </w:pPr>
      <w:r>
        <w:rPr>
          <w:rFonts w:hint="eastAsia" w:ascii="宋体" w:hAnsi="宋体"/>
          <w:color w:val="auto"/>
        </w:rPr>
        <w:t>帐      号：                          帐      号：</w:t>
      </w:r>
    </w:p>
    <w:p>
      <w:pPr>
        <w:spacing w:line="400" w:lineRule="exact"/>
        <w:ind w:firstLine="420" w:firstLineChars="200"/>
        <w:rPr>
          <w:rFonts w:ascii="宋体" w:hAnsi="宋体"/>
          <w:color w:val="auto"/>
        </w:rPr>
      </w:pPr>
      <w:r>
        <w:rPr>
          <w:rFonts w:hint="eastAsia" w:ascii="宋体" w:hAnsi="宋体"/>
          <w:color w:val="auto"/>
        </w:rPr>
        <w:t>电      话：                          电      话：</w:t>
      </w:r>
    </w:p>
    <w:p>
      <w:pPr>
        <w:spacing w:line="400" w:lineRule="exact"/>
        <w:ind w:firstLine="420" w:firstLineChars="200"/>
        <w:rPr>
          <w:rFonts w:ascii="宋体" w:hAnsi="宋体"/>
          <w:color w:val="auto"/>
        </w:rPr>
      </w:pPr>
      <w:r>
        <w:rPr>
          <w:rFonts w:hint="eastAsia" w:ascii="宋体" w:hAnsi="宋体"/>
          <w:color w:val="auto"/>
        </w:rPr>
        <w:t>传      真：                          传      真：</w:t>
      </w:r>
    </w:p>
    <w:p>
      <w:pPr>
        <w:spacing w:line="400" w:lineRule="exact"/>
        <w:ind w:left="-6" w:leftChars="-3" w:firstLine="399" w:firstLineChars="150"/>
        <w:rPr>
          <w:rFonts w:ascii="宋体" w:hAnsi="宋体"/>
          <w:color w:val="auto"/>
        </w:rPr>
      </w:pPr>
      <w:r>
        <w:rPr>
          <w:rFonts w:hint="eastAsia" w:ascii="宋体" w:hAnsi="宋体"/>
          <w:color w:val="auto"/>
          <w:spacing w:val="28"/>
          <w:szCs w:val="21"/>
        </w:rPr>
        <w:t>邮政编码：</w:t>
      </w:r>
      <w:r>
        <w:rPr>
          <w:rFonts w:hint="eastAsia" w:ascii="宋体" w:hAnsi="宋体"/>
          <w:color w:val="auto"/>
        </w:rPr>
        <w:t xml:space="preserve">                         </w:t>
      </w:r>
      <w:r>
        <w:rPr>
          <w:rFonts w:hint="eastAsia" w:ascii="宋体" w:hAnsi="宋体"/>
          <w:color w:val="auto"/>
          <w:spacing w:val="28"/>
          <w:szCs w:val="21"/>
        </w:rPr>
        <w:t>邮政编码：</w:t>
      </w:r>
    </w:p>
    <w:p>
      <w:pPr>
        <w:widowControl/>
        <w:spacing w:line="400" w:lineRule="exact"/>
        <w:ind w:firstLine="399" w:firstLineChars="150"/>
        <w:jc w:val="left"/>
        <w:rPr>
          <w:rFonts w:ascii="宋体" w:hAnsi="宋体" w:cs="Arial"/>
          <w:color w:val="auto"/>
          <w:kern w:val="0"/>
          <w:szCs w:val="21"/>
        </w:rPr>
      </w:pPr>
      <w:r>
        <w:rPr>
          <w:rFonts w:hint="eastAsia" w:ascii="宋体" w:hAnsi="宋体"/>
          <w:color w:val="auto"/>
          <w:spacing w:val="28"/>
          <w:szCs w:val="21"/>
        </w:rPr>
        <w:t>签订时间：</w:t>
      </w:r>
      <w:r>
        <w:rPr>
          <w:rFonts w:hint="eastAsia" w:ascii="宋体" w:hAnsi="宋体"/>
          <w:color w:val="auto"/>
        </w:rPr>
        <w:t xml:space="preserve">    年   月   日         </w:t>
      </w:r>
      <w:r>
        <w:rPr>
          <w:rFonts w:hint="eastAsia" w:ascii="宋体" w:hAnsi="宋体"/>
          <w:color w:val="auto"/>
          <w:spacing w:val="28"/>
          <w:szCs w:val="21"/>
        </w:rPr>
        <w:t>签订时间：</w:t>
      </w:r>
      <w:r>
        <w:rPr>
          <w:rFonts w:hint="eastAsia" w:ascii="宋体" w:hAnsi="宋体"/>
          <w:color w:val="auto"/>
        </w:rPr>
        <w:t xml:space="preserve">    年   月   日</w:t>
      </w:r>
    </w:p>
    <w:p>
      <w:pPr>
        <w:spacing w:beforeLines="50" w:afterLines="50" w:line="340" w:lineRule="exact"/>
        <w:ind w:firstLine="420" w:firstLineChars="200"/>
        <w:rPr>
          <w:rFonts w:ascii="宋体" w:hAnsi="宋体"/>
          <w:b/>
          <w:color w:val="auto"/>
          <w:sz w:val="24"/>
        </w:rPr>
      </w:pPr>
      <w:r>
        <w:rPr>
          <w:rFonts w:hint="eastAsia" w:ascii="宋体" w:hAnsi="宋体"/>
          <w:color w:val="auto"/>
          <w:szCs w:val="21"/>
        </w:rPr>
        <w:t>本合同条款为基本要求，投标人必须满足以下条款的要求。在合同谈判时，采购人有权根据项目的特点增加与投标有关的内容。</w:t>
      </w:r>
    </w:p>
    <w:p>
      <w:pPr>
        <w:widowControl/>
        <w:spacing w:line="360" w:lineRule="auto"/>
        <w:jc w:val="left"/>
        <w:rPr>
          <w:rFonts w:ascii="宋体" w:hAnsi="宋体"/>
          <w:color w:val="auto"/>
        </w:rPr>
      </w:pPr>
    </w:p>
    <w:p>
      <w:pPr>
        <w:pStyle w:val="2"/>
        <w:keepNext w:val="0"/>
        <w:snapToGrid w:val="0"/>
        <w:rPr>
          <w:rFonts w:ascii="宋体" w:hAnsi="宋体" w:cs="仿宋"/>
          <w:b w:val="0"/>
          <w:color w:val="auto"/>
          <w:szCs w:val="44"/>
        </w:rPr>
        <w:sectPr>
          <w:headerReference r:id="rId10" w:type="default"/>
          <w:pgSz w:w="11906" w:h="16838"/>
          <w:pgMar w:top="1134" w:right="1134" w:bottom="1134" w:left="1134" w:header="851" w:footer="992" w:gutter="0"/>
          <w:cols w:space="720" w:num="1"/>
          <w:docGrid w:linePitch="312" w:charSpace="0"/>
        </w:sectPr>
      </w:pPr>
    </w:p>
    <w:p>
      <w:pPr>
        <w:pStyle w:val="4"/>
        <w:snapToGrid w:val="0"/>
        <w:spacing w:line="380" w:lineRule="atLeast"/>
        <w:ind w:left="803" w:hanging="803" w:hangingChars="250"/>
        <w:jc w:val="center"/>
        <w:rPr>
          <w:rFonts w:ascii="宋体" w:hAnsi="宋体"/>
          <w:color w:val="auto"/>
          <w:sz w:val="24"/>
        </w:rPr>
      </w:pPr>
      <w:r>
        <w:rPr>
          <w:rFonts w:hint="eastAsia" w:ascii="宋体" w:hAnsi="宋体"/>
          <w:color w:val="auto"/>
          <w:szCs w:val="32"/>
        </w:rPr>
        <w:t>第四章</w:t>
      </w:r>
      <w:r>
        <w:rPr>
          <w:rFonts w:ascii="宋体" w:hAnsi="宋体"/>
          <w:color w:val="auto"/>
          <w:szCs w:val="32"/>
        </w:rPr>
        <w:t xml:space="preserve"> </w:t>
      </w:r>
      <w:r>
        <w:rPr>
          <w:rFonts w:hint="eastAsia" w:ascii="宋体" w:hAnsi="宋体"/>
          <w:color w:val="auto"/>
          <w:szCs w:val="32"/>
        </w:rPr>
        <w:t>技术规格、参数与要求</w:t>
      </w:r>
    </w:p>
    <w:p>
      <w:pPr>
        <w:pStyle w:val="14"/>
        <w:spacing w:line="276" w:lineRule="auto"/>
        <w:ind w:firstLine="480"/>
        <w:rPr>
          <w:rFonts w:ascii="Calibri" w:hAnsi="宋体" w:cs="宋体"/>
          <w:color w:val="auto"/>
          <w:kern w:val="0"/>
          <w:sz w:val="28"/>
          <w:szCs w:val="28"/>
        </w:rPr>
      </w:pPr>
      <w:r>
        <w:rPr>
          <w:rFonts w:hint="eastAsia" w:ascii="Calibri" w:hAnsi="宋体" w:cs="宋体"/>
          <w:color w:val="auto"/>
          <w:kern w:val="0"/>
          <w:sz w:val="28"/>
          <w:szCs w:val="28"/>
        </w:rPr>
        <w:t>实验室废弃物暂存柜系统是由主柜体、分类存储系统、智能控制系统、通风排气系统、废气净化处理系统、温度控制系统、传感监测系统、防爆供电系统、漏液回收系统、自动消防灭火系统及安全系统、个人安全防护系统、静电防护系统、视频监控系统、远程在线实时监控系统、云端后台管理系统等</w:t>
      </w:r>
      <w:r>
        <w:rPr>
          <w:rFonts w:ascii="Calibri" w:hAnsi="宋体" w:cs="宋体"/>
          <w:color w:val="auto"/>
          <w:kern w:val="0"/>
          <w:sz w:val="28"/>
          <w:szCs w:val="28"/>
        </w:rPr>
        <w:t>21</w:t>
      </w:r>
      <w:r>
        <w:rPr>
          <w:rFonts w:hint="eastAsia" w:ascii="Calibri" w:hAnsi="宋体" w:cs="宋体"/>
          <w:color w:val="auto"/>
          <w:kern w:val="0"/>
          <w:sz w:val="28"/>
          <w:szCs w:val="28"/>
        </w:rPr>
        <w:t>个单元组成。</w:t>
      </w:r>
    </w:p>
    <w:tbl>
      <w:tblPr>
        <w:tblStyle w:val="47"/>
        <w:tblW w:w="9500" w:type="dxa"/>
        <w:jc w:val="center"/>
        <w:tblInd w:w="8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8"/>
        <w:gridCol w:w="981"/>
        <w:gridCol w:w="1947"/>
        <w:gridCol w:w="3617"/>
        <w:gridCol w:w="974"/>
        <w:gridCol w:w="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2" w:hRule="atLeast"/>
          <w:jc w:val="center"/>
        </w:trPr>
        <w:tc>
          <w:tcPr>
            <w:tcW w:w="1198" w:type="dxa"/>
            <w:shd w:val="clear" w:color="auto" w:fill="C6D9F1"/>
            <w:vAlign w:val="center"/>
          </w:tcPr>
          <w:p>
            <w:pPr>
              <w:jc w:val="center"/>
              <w:rPr>
                <w:b/>
                <w:color w:val="auto"/>
                <w:sz w:val="28"/>
              </w:rPr>
            </w:pPr>
            <w:r>
              <w:rPr>
                <w:rFonts w:hint="eastAsia"/>
                <w:b/>
                <w:color w:val="auto"/>
                <w:sz w:val="28"/>
              </w:rPr>
              <w:t>设备名称</w:t>
            </w:r>
          </w:p>
        </w:tc>
        <w:tc>
          <w:tcPr>
            <w:tcW w:w="981" w:type="dxa"/>
            <w:shd w:val="clear" w:color="auto" w:fill="C6D9F1"/>
            <w:vAlign w:val="center"/>
          </w:tcPr>
          <w:p>
            <w:pPr>
              <w:jc w:val="center"/>
              <w:rPr>
                <w:b/>
                <w:color w:val="auto"/>
                <w:sz w:val="28"/>
              </w:rPr>
            </w:pPr>
            <w:r>
              <w:rPr>
                <w:rFonts w:hint="eastAsia"/>
                <w:b/>
                <w:color w:val="auto"/>
                <w:sz w:val="28"/>
              </w:rPr>
              <w:t>序号</w:t>
            </w:r>
          </w:p>
        </w:tc>
        <w:tc>
          <w:tcPr>
            <w:tcW w:w="1947" w:type="dxa"/>
            <w:shd w:val="clear" w:color="auto" w:fill="C6D9F1"/>
            <w:vAlign w:val="center"/>
          </w:tcPr>
          <w:p>
            <w:pPr>
              <w:jc w:val="center"/>
              <w:rPr>
                <w:b/>
                <w:color w:val="auto"/>
                <w:sz w:val="28"/>
              </w:rPr>
            </w:pPr>
            <w:r>
              <w:rPr>
                <w:rFonts w:hint="eastAsia"/>
                <w:b/>
                <w:color w:val="auto"/>
                <w:sz w:val="28"/>
              </w:rPr>
              <w:t>分类名称</w:t>
            </w:r>
          </w:p>
        </w:tc>
        <w:tc>
          <w:tcPr>
            <w:tcW w:w="3617" w:type="dxa"/>
            <w:shd w:val="clear" w:color="auto" w:fill="C6D9F1"/>
            <w:vAlign w:val="center"/>
          </w:tcPr>
          <w:p>
            <w:pPr>
              <w:pStyle w:val="129"/>
              <w:ind w:left="420" w:firstLine="0" w:firstLineChars="0"/>
              <w:jc w:val="center"/>
              <w:rPr>
                <w:rStyle w:val="40"/>
                <w:rFonts w:ascii="新宋体" w:hAnsi="新宋体" w:eastAsia="新宋体"/>
                <w:color w:val="auto"/>
                <w:sz w:val="28"/>
              </w:rPr>
            </w:pPr>
            <w:r>
              <w:rPr>
                <w:rStyle w:val="40"/>
                <w:rFonts w:hint="eastAsia" w:ascii="新宋体" w:hAnsi="新宋体" w:eastAsia="新宋体"/>
                <w:color w:val="auto"/>
                <w:sz w:val="28"/>
              </w:rPr>
              <w:t>设备明细</w:t>
            </w:r>
          </w:p>
        </w:tc>
        <w:tc>
          <w:tcPr>
            <w:tcW w:w="974" w:type="dxa"/>
            <w:shd w:val="clear" w:color="auto" w:fill="C6D9F1"/>
            <w:vAlign w:val="center"/>
          </w:tcPr>
          <w:p>
            <w:pPr>
              <w:jc w:val="center"/>
              <w:rPr>
                <w:b/>
                <w:color w:val="auto"/>
                <w:sz w:val="28"/>
              </w:rPr>
            </w:pPr>
            <w:r>
              <w:rPr>
                <w:rFonts w:hint="eastAsia"/>
                <w:b/>
                <w:color w:val="auto"/>
                <w:sz w:val="28"/>
              </w:rPr>
              <w:t>数量</w:t>
            </w:r>
          </w:p>
        </w:tc>
        <w:tc>
          <w:tcPr>
            <w:tcW w:w="783" w:type="dxa"/>
            <w:shd w:val="clear" w:color="auto" w:fill="C6D9F1"/>
            <w:vAlign w:val="center"/>
          </w:tcPr>
          <w:p>
            <w:pPr>
              <w:jc w:val="center"/>
              <w:rPr>
                <w:b/>
                <w:color w:val="auto"/>
                <w:sz w:val="28"/>
              </w:rPr>
            </w:pPr>
            <w:r>
              <w:rPr>
                <w:rFonts w:hint="eastAsia"/>
                <w:b/>
                <w:color w:val="auto"/>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77" w:hRule="atLeast"/>
          <w:jc w:val="center"/>
        </w:trPr>
        <w:tc>
          <w:tcPr>
            <w:tcW w:w="1198" w:type="dxa"/>
            <w:vMerge w:val="restart"/>
            <w:vAlign w:val="center"/>
          </w:tcPr>
          <w:p>
            <w:pPr>
              <w:jc w:val="center"/>
              <w:rPr>
                <w:color w:val="auto"/>
                <w:sz w:val="28"/>
              </w:rPr>
            </w:pPr>
            <w:r>
              <w:rPr>
                <w:rStyle w:val="40"/>
                <w:rFonts w:hint="eastAsia" w:ascii="新宋体" w:hAnsi="新宋体" w:eastAsia="新宋体"/>
                <w:bCs w:val="0"/>
                <w:color w:val="auto"/>
                <w:sz w:val="24"/>
              </w:rPr>
              <w:t>实验室废弃物暂存柜系统</w:t>
            </w:r>
          </w:p>
        </w:tc>
        <w:tc>
          <w:tcPr>
            <w:tcW w:w="981" w:type="dxa"/>
            <w:vAlign w:val="center"/>
          </w:tcPr>
          <w:p>
            <w:pPr>
              <w:jc w:val="center"/>
              <w:rPr>
                <w:color w:val="auto"/>
                <w:sz w:val="28"/>
              </w:rPr>
            </w:pPr>
            <w:r>
              <w:rPr>
                <w:rFonts w:hint="eastAsia"/>
                <w:b/>
                <w:color w:val="auto"/>
                <w:sz w:val="28"/>
              </w:rPr>
              <w:t>（一）</w:t>
            </w:r>
          </w:p>
        </w:tc>
        <w:tc>
          <w:tcPr>
            <w:tcW w:w="1947" w:type="dxa"/>
            <w:vAlign w:val="center"/>
          </w:tcPr>
          <w:p>
            <w:pPr>
              <w:jc w:val="center"/>
              <w:rPr>
                <w:rStyle w:val="40"/>
                <w:rFonts w:ascii="新宋体" w:hAnsi="新宋体" w:eastAsia="新宋体"/>
                <w:color w:val="auto"/>
                <w:sz w:val="24"/>
              </w:rPr>
            </w:pPr>
            <w:r>
              <w:rPr>
                <w:rStyle w:val="40"/>
                <w:rFonts w:hint="eastAsia" w:ascii="新宋体" w:hAnsi="新宋体" w:eastAsia="新宋体"/>
                <w:color w:val="auto"/>
                <w:sz w:val="24"/>
              </w:rPr>
              <w:t>暂存柜系统</w:t>
            </w:r>
          </w:p>
        </w:tc>
        <w:tc>
          <w:tcPr>
            <w:tcW w:w="3617" w:type="dxa"/>
            <w:vAlign w:val="center"/>
          </w:tcPr>
          <w:p>
            <w:pPr>
              <w:pStyle w:val="129"/>
              <w:numPr>
                <w:ilvl w:val="0"/>
                <w:numId w:val="62"/>
              </w:numPr>
              <w:ind w:firstLineChars="0"/>
              <w:jc w:val="left"/>
              <w:rPr>
                <w:rStyle w:val="40"/>
                <w:rFonts w:ascii="新宋体" w:hAnsi="新宋体" w:eastAsia="新宋体"/>
                <w:b w:val="0"/>
                <w:color w:val="auto"/>
                <w:sz w:val="28"/>
                <w:szCs w:val="28"/>
              </w:rPr>
            </w:pPr>
            <w:r>
              <w:rPr>
                <w:rStyle w:val="40"/>
                <w:rFonts w:hint="eastAsia" w:ascii="新宋体" w:hAnsi="新宋体" w:eastAsia="新宋体"/>
                <w:b w:val="0"/>
                <w:color w:val="auto"/>
                <w:sz w:val="28"/>
                <w:szCs w:val="28"/>
              </w:rPr>
              <w:t>主柜体</w:t>
            </w:r>
          </w:p>
          <w:p>
            <w:pPr>
              <w:pStyle w:val="129"/>
              <w:numPr>
                <w:ilvl w:val="0"/>
                <w:numId w:val="62"/>
              </w:numPr>
              <w:ind w:firstLineChars="0"/>
              <w:jc w:val="left"/>
              <w:rPr>
                <w:rStyle w:val="40"/>
                <w:rFonts w:ascii="新宋体" w:hAnsi="新宋体" w:eastAsia="新宋体"/>
                <w:b w:val="0"/>
                <w:color w:val="auto"/>
                <w:sz w:val="28"/>
                <w:szCs w:val="28"/>
              </w:rPr>
            </w:pPr>
            <w:r>
              <w:rPr>
                <w:rStyle w:val="40"/>
                <w:rFonts w:hint="eastAsia" w:ascii="新宋体" w:hAnsi="新宋体" w:eastAsia="新宋体"/>
                <w:b w:val="0"/>
                <w:color w:val="auto"/>
                <w:sz w:val="28"/>
                <w:szCs w:val="28"/>
              </w:rPr>
              <w:t>分类储存功能</w:t>
            </w:r>
          </w:p>
          <w:p>
            <w:pPr>
              <w:pStyle w:val="129"/>
              <w:numPr>
                <w:ilvl w:val="0"/>
                <w:numId w:val="62"/>
              </w:numPr>
              <w:ind w:firstLineChars="0"/>
              <w:jc w:val="left"/>
              <w:rPr>
                <w:rStyle w:val="40"/>
                <w:rFonts w:ascii="新宋体" w:hAnsi="新宋体" w:eastAsia="新宋体"/>
                <w:b w:val="0"/>
                <w:color w:val="auto"/>
                <w:sz w:val="28"/>
                <w:szCs w:val="28"/>
              </w:rPr>
            </w:pPr>
            <w:r>
              <w:rPr>
                <w:rStyle w:val="40"/>
                <w:rFonts w:hint="eastAsia" w:ascii="新宋体" w:hAnsi="新宋体" w:eastAsia="新宋体"/>
                <w:b w:val="0"/>
                <w:color w:val="auto"/>
                <w:sz w:val="28"/>
                <w:szCs w:val="28"/>
              </w:rPr>
              <w:t>智能控制系统</w:t>
            </w:r>
          </w:p>
          <w:p>
            <w:pPr>
              <w:pStyle w:val="129"/>
              <w:numPr>
                <w:ilvl w:val="0"/>
                <w:numId w:val="62"/>
              </w:numPr>
              <w:ind w:firstLineChars="0"/>
              <w:jc w:val="left"/>
              <w:rPr>
                <w:rStyle w:val="40"/>
                <w:rFonts w:ascii="新宋体" w:hAnsi="新宋体" w:eastAsia="新宋体"/>
                <w:b w:val="0"/>
                <w:color w:val="auto"/>
                <w:sz w:val="28"/>
                <w:szCs w:val="28"/>
              </w:rPr>
            </w:pPr>
            <w:r>
              <w:rPr>
                <w:rStyle w:val="40"/>
                <w:rFonts w:hint="eastAsia" w:ascii="新宋体" w:hAnsi="新宋体" w:eastAsia="新宋体"/>
                <w:b w:val="0"/>
                <w:color w:val="auto"/>
                <w:sz w:val="28"/>
                <w:szCs w:val="28"/>
              </w:rPr>
              <w:t>通风排气系统</w:t>
            </w:r>
          </w:p>
          <w:p>
            <w:pPr>
              <w:pStyle w:val="129"/>
              <w:numPr>
                <w:ilvl w:val="0"/>
                <w:numId w:val="62"/>
              </w:numPr>
              <w:ind w:firstLineChars="0"/>
              <w:jc w:val="left"/>
              <w:rPr>
                <w:rStyle w:val="40"/>
                <w:rFonts w:ascii="新宋体" w:hAnsi="新宋体" w:eastAsia="新宋体"/>
                <w:b w:val="0"/>
                <w:color w:val="auto"/>
                <w:sz w:val="28"/>
                <w:szCs w:val="28"/>
              </w:rPr>
            </w:pPr>
            <w:r>
              <w:rPr>
                <w:rStyle w:val="40"/>
                <w:rFonts w:hint="eastAsia" w:ascii="新宋体" w:hAnsi="新宋体" w:eastAsia="新宋体"/>
                <w:b w:val="0"/>
                <w:color w:val="auto"/>
                <w:sz w:val="28"/>
                <w:szCs w:val="28"/>
              </w:rPr>
              <w:t>废气净化系统</w:t>
            </w:r>
          </w:p>
          <w:p>
            <w:pPr>
              <w:pStyle w:val="129"/>
              <w:numPr>
                <w:ilvl w:val="0"/>
                <w:numId w:val="62"/>
              </w:numPr>
              <w:ind w:firstLineChars="0"/>
              <w:jc w:val="left"/>
              <w:rPr>
                <w:rStyle w:val="40"/>
                <w:rFonts w:ascii="新宋体" w:hAnsi="新宋体" w:eastAsia="新宋体"/>
                <w:b w:val="0"/>
                <w:color w:val="auto"/>
                <w:sz w:val="28"/>
                <w:szCs w:val="28"/>
              </w:rPr>
            </w:pPr>
            <w:r>
              <w:rPr>
                <w:rStyle w:val="40"/>
                <w:rFonts w:hint="eastAsia" w:ascii="新宋体" w:hAnsi="新宋体" w:eastAsia="新宋体"/>
                <w:b w:val="0"/>
                <w:color w:val="auto"/>
                <w:sz w:val="28"/>
                <w:szCs w:val="28"/>
              </w:rPr>
              <w:t>温度控制系统</w:t>
            </w:r>
          </w:p>
          <w:p>
            <w:pPr>
              <w:pStyle w:val="129"/>
              <w:numPr>
                <w:ilvl w:val="0"/>
                <w:numId w:val="62"/>
              </w:numPr>
              <w:ind w:firstLineChars="0"/>
              <w:jc w:val="left"/>
              <w:rPr>
                <w:rStyle w:val="40"/>
                <w:rFonts w:ascii="新宋体" w:hAnsi="新宋体" w:eastAsia="新宋体"/>
                <w:b w:val="0"/>
                <w:color w:val="auto"/>
                <w:sz w:val="28"/>
                <w:szCs w:val="28"/>
              </w:rPr>
            </w:pPr>
            <w:r>
              <w:rPr>
                <w:rStyle w:val="40"/>
                <w:rFonts w:hint="eastAsia" w:ascii="新宋体" w:hAnsi="新宋体" w:eastAsia="新宋体"/>
                <w:b w:val="0"/>
                <w:color w:val="auto"/>
                <w:sz w:val="28"/>
                <w:szCs w:val="28"/>
              </w:rPr>
              <w:t>传感监测系统</w:t>
            </w:r>
          </w:p>
          <w:p>
            <w:pPr>
              <w:pStyle w:val="129"/>
              <w:numPr>
                <w:ilvl w:val="0"/>
                <w:numId w:val="62"/>
              </w:numPr>
              <w:ind w:firstLineChars="0"/>
              <w:jc w:val="left"/>
              <w:rPr>
                <w:rStyle w:val="40"/>
                <w:rFonts w:ascii="新宋体" w:hAnsi="新宋体" w:eastAsia="新宋体"/>
                <w:b w:val="0"/>
                <w:color w:val="auto"/>
                <w:sz w:val="28"/>
                <w:szCs w:val="28"/>
              </w:rPr>
            </w:pPr>
            <w:r>
              <w:rPr>
                <w:rStyle w:val="40"/>
                <w:rFonts w:hint="eastAsia" w:ascii="新宋体" w:hAnsi="新宋体" w:eastAsia="新宋体"/>
                <w:b w:val="0"/>
                <w:color w:val="auto"/>
                <w:sz w:val="28"/>
                <w:szCs w:val="28"/>
              </w:rPr>
              <w:t>防爆供电系统</w:t>
            </w:r>
          </w:p>
          <w:p>
            <w:pPr>
              <w:pStyle w:val="129"/>
              <w:numPr>
                <w:ilvl w:val="0"/>
                <w:numId w:val="62"/>
              </w:numPr>
              <w:ind w:firstLineChars="0"/>
              <w:jc w:val="left"/>
              <w:rPr>
                <w:rStyle w:val="40"/>
                <w:rFonts w:ascii="新宋体" w:hAnsi="新宋体" w:eastAsia="新宋体"/>
                <w:b w:val="0"/>
                <w:color w:val="auto"/>
                <w:sz w:val="28"/>
                <w:szCs w:val="28"/>
              </w:rPr>
            </w:pPr>
            <w:r>
              <w:rPr>
                <w:rStyle w:val="40"/>
                <w:rFonts w:hint="eastAsia" w:ascii="新宋体" w:hAnsi="新宋体" w:eastAsia="新宋体"/>
                <w:b w:val="0"/>
                <w:color w:val="auto"/>
                <w:sz w:val="28"/>
                <w:szCs w:val="28"/>
              </w:rPr>
              <w:t>漏液回收系统</w:t>
            </w:r>
          </w:p>
          <w:p>
            <w:pPr>
              <w:pStyle w:val="129"/>
              <w:numPr>
                <w:ilvl w:val="0"/>
                <w:numId w:val="62"/>
              </w:numPr>
              <w:ind w:firstLineChars="0"/>
              <w:jc w:val="left"/>
              <w:rPr>
                <w:rStyle w:val="40"/>
                <w:rFonts w:ascii="新宋体" w:hAnsi="新宋体" w:eastAsia="新宋体"/>
                <w:b w:val="0"/>
                <w:color w:val="auto"/>
                <w:sz w:val="28"/>
                <w:szCs w:val="28"/>
              </w:rPr>
            </w:pPr>
            <w:r>
              <w:rPr>
                <w:rStyle w:val="40"/>
                <w:rFonts w:hint="eastAsia" w:ascii="新宋体" w:hAnsi="新宋体" w:eastAsia="新宋体"/>
                <w:b w:val="0"/>
                <w:color w:val="auto"/>
                <w:sz w:val="28"/>
                <w:szCs w:val="28"/>
              </w:rPr>
              <w:t>自动消防灭火系统</w:t>
            </w:r>
          </w:p>
          <w:p>
            <w:pPr>
              <w:pStyle w:val="129"/>
              <w:numPr>
                <w:ilvl w:val="0"/>
                <w:numId w:val="62"/>
              </w:numPr>
              <w:ind w:firstLineChars="0"/>
              <w:jc w:val="left"/>
              <w:rPr>
                <w:rStyle w:val="40"/>
                <w:rFonts w:ascii="新宋体" w:hAnsi="新宋体" w:eastAsia="新宋体"/>
                <w:b w:val="0"/>
                <w:color w:val="auto"/>
                <w:sz w:val="28"/>
                <w:szCs w:val="28"/>
              </w:rPr>
            </w:pPr>
            <w:r>
              <w:rPr>
                <w:rStyle w:val="40"/>
                <w:rFonts w:hint="eastAsia" w:ascii="新宋体" w:hAnsi="新宋体" w:eastAsia="新宋体"/>
                <w:b w:val="0"/>
                <w:color w:val="auto"/>
                <w:sz w:val="28"/>
                <w:szCs w:val="28"/>
              </w:rPr>
              <w:t>个人安全防护设施</w:t>
            </w:r>
          </w:p>
          <w:p>
            <w:pPr>
              <w:pStyle w:val="129"/>
              <w:numPr>
                <w:ilvl w:val="0"/>
                <w:numId w:val="62"/>
              </w:numPr>
              <w:ind w:firstLineChars="0"/>
              <w:jc w:val="left"/>
              <w:rPr>
                <w:rStyle w:val="40"/>
                <w:rFonts w:ascii="新宋体" w:hAnsi="新宋体" w:eastAsia="新宋体"/>
                <w:b w:val="0"/>
                <w:color w:val="auto"/>
                <w:sz w:val="28"/>
                <w:szCs w:val="28"/>
              </w:rPr>
            </w:pPr>
            <w:r>
              <w:rPr>
                <w:rStyle w:val="40"/>
                <w:rFonts w:hint="eastAsia" w:ascii="新宋体" w:hAnsi="新宋体" w:eastAsia="新宋体"/>
                <w:b w:val="0"/>
                <w:color w:val="auto"/>
                <w:sz w:val="28"/>
                <w:szCs w:val="28"/>
              </w:rPr>
              <w:t>静电防护系统</w:t>
            </w:r>
          </w:p>
          <w:p>
            <w:pPr>
              <w:pStyle w:val="129"/>
              <w:numPr>
                <w:ilvl w:val="0"/>
                <w:numId w:val="62"/>
              </w:numPr>
              <w:ind w:firstLineChars="0"/>
              <w:jc w:val="left"/>
              <w:rPr>
                <w:rStyle w:val="40"/>
                <w:rFonts w:ascii="新宋体" w:hAnsi="新宋体" w:eastAsia="新宋体"/>
                <w:b w:val="0"/>
                <w:color w:val="auto"/>
                <w:sz w:val="28"/>
                <w:szCs w:val="28"/>
              </w:rPr>
            </w:pPr>
            <w:r>
              <w:rPr>
                <w:rStyle w:val="40"/>
                <w:rFonts w:hint="eastAsia" w:ascii="新宋体" w:hAnsi="新宋体" w:eastAsia="新宋体"/>
                <w:b w:val="0"/>
                <w:color w:val="auto"/>
                <w:sz w:val="28"/>
                <w:szCs w:val="28"/>
              </w:rPr>
              <w:t>视频监控系统</w:t>
            </w:r>
          </w:p>
          <w:p>
            <w:pPr>
              <w:pStyle w:val="129"/>
              <w:numPr>
                <w:ilvl w:val="0"/>
                <w:numId w:val="62"/>
              </w:numPr>
              <w:ind w:firstLineChars="0"/>
              <w:jc w:val="left"/>
              <w:rPr>
                <w:rStyle w:val="40"/>
                <w:rFonts w:ascii="新宋体" w:hAnsi="新宋体" w:eastAsia="新宋体"/>
                <w:b w:val="0"/>
                <w:color w:val="auto"/>
                <w:sz w:val="28"/>
                <w:szCs w:val="28"/>
              </w:rPr>
            </w:pPr>
            <w:r>
              <w:rPr>
                <w:rStyle w:val="40"/>
                <w:rFonts w:hint="eastAsia" w:ascii="新宋体" w:hAnsi="新宋体" w:eastAsia="新宋体"/>
                <w:b w:val="0"/>
                <w:color w:val="auto"/>
                <w:sz w:val="28"/>
                <w:szCs w:val="28"/>
              </w:rPr>
              <w:t>避雷措施</w:t>
            </w:r>
          </w:p>
          <w:p>
            <w:pPr>
              <w:pStyle w:val="129"/>
              <w:numPr>
                <w:ilvl w:val="0"/>
                <w:numId w:val="62"/>
              </w:numPr>
              <w:ind w:firstLineChars="0"/>
              <w:jc w:val="left"/>
              <w:rPr>
                <w:rStyle w:val="40"/>
                <w:rFonts w:ascii="新宋体" w:hAnsi="新宋体" w:eastAsia="新宋体"/>
                <w:b w:val="0"/>
                <w:color w:val="auto"/>
                <w:sz w:val="28"/>
                <w:szCs w:val="28"/>
              </w:rPr>
            </w:pPr>
            <w:r>
              <w:rPr>
                <w:rStyle w:val="40"/>
                <w:rFonts w:hint="eastAsia" w:ascii="新宋体" w:hAnsi="新宋体" w:eastAsia="新宋体"/>
                <w:b w:val="0"/>
                <w:color w:val="auto"/>
                <w:sz w:val="28"/>
                <w:szCs w:val="28"/>
              </w:rPr>
              <w:t>安全标识、标牌与说明</w:t>
            </w:r>
          </w:p>
        </w:tc>
        <w:tc>
          <w:tcPr>
            <w:tcW w:w="974" w:type="dxa"/>
            <w:vMerge w:val="restart"/>
            <w:vAlign w:val="center"/>
          </w:tcPr>
          <w:p>
            <w:pPr>
              <w:jc w:val="center"/>
              <w:rPr>
                <w:color w:val="auto"/>
                <w:sz w:val="24"/>
              </w:rPr>
            </w:pPr>
            <w:r>
              <w:rPr>
                <w:color w:val="auto"/>
                <w:sz w:val="24"/>
              </w:rPr>
              <w:t>1</w:t>
            </w:r>
            <w:r>
              <w:rPr>
                <w:rFonts w:hint="eastAsia"/>
                <w:color w:val="auto"/>
                <w:sz w:val="24"/>
              </w:rPr>
              <w:t>套</w:t>
            </w:r>
          </w:p>
        </w:tc>
        <w:tc>
          <w:tcPr>
            <w:tcW w:w="783"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2" w:hRule="atLeast"/>
          <w:jc w:val="center"/>
        </w:trPr>
        <w:tc>
          <w:tcPr>
            <w:tcW w:w="1198" w:type="dxa"/>
            <w:vMerge w:val="continue"/>
            <w:vAlign w:val="center"/>
          </w:tcPr>
          <w:p>
            <w:pPr>
              <w:jc w:val="center"/>
              <w:rPr>
                <w:color w:val="auto"/>
                <w:sz w:val="28"/>
              </w:rPr>
            </w:pPr>
          </w:p>
        </w:tc>
        <w:tc>
          <w:tcPr>
            <w:tcW w:w="981" w:type="dxa"/>
            <w:vAlign w:val="center"/>
          </w:tcPr>
          <w:p>
            <w:pPr>
              <w:jc w:val="center"/>
              <w:rPr>
                <w:color w:val="auto"/>
                <w:sz w:val="28"/>
              </w:rPr>
            </w:pPr>
            <w:r>
              <w:rPr>
                <w:rFonts w:hint="eastAsia"/>
                <w:b/>
                <w:color w:val="auto"/>
                <w:sz w:val="28"/>
              </w:rPr>
              <w:t>（二）</w:t>
            </w:r>
          </w:p>
        </w:tc>
        <w:tc>
          <w:tcPr>
            <w:tcW w:w="1947" w:type="dxa"/>
            <w:vAlign w:val="center"/>
          </w:tcPr>
          <w:p>
            <w:pPr>
              <w:jc w:val="center"/>
              <w:rPr>
                <w:rStyle w:val="40"/>
                <w:rFonts w:ascii="新宋体" w:hAnsi="新宋体" w:eastAsia="新宋体"/>
                <w:b w:val="0"/>
                <w:color w:val="auto"/>
                <w:sz w:val="24"/>
              </w:rPr>
            </w:pPr>
            <w:r>
              <w:rPr>
                <w:rStyle w:val="40"/>
                <w:rFonts w:hint="eastAsia" w:ascii="新宋体" w:hAnsi="新宋体" w:eastAsia="新宋体"/>
                <w:color w:val="auto"/>
                <w:sz w:val="24"/>
              </w:rPr>
              <w:t>物联网管控系统</w:t>
            </w:r>
          </w:p>
        </w:tc>
        <w:tc>
          <w:tcPr>
            <w:tcW w:w="3617" w:type="dxa"/>
            <w:vAlign w:val="center"/>
          </w:tcPr>
          <w:p>
            <w:pPr>
              <w:pStyle w:val="129"/>
              <w:numPr>
                <w:ilvl w:val="0"/>
                <w:numId w:val="62"/>
              </w:numPr>
              <w:ind w:firstLineChars="0"/>
              <w:jc w:val="left"/>
              <w:rPr>
                <w:rStyle w:val="40"/>
                <w:rFonts w:ascii="新宋体" w:hAnsi="新宋体" w:eastAsia="新宋体"/>
                <w:b w:val="0"/>
                <w:color w:val="auto"/>
                <w:sz w:val="28"/>
                <w:szCs w:val="28"/>
              </w:rPr>
            </w:pPr>
            <w:r>
              <w:rPr>
                <w:rStyle w:val="40"/>
                <w:rFonts w:hint="eastAsia" w:ascii="新宋体" w:hAnsi="新宋体" w:eastAsia="新宋体"/>
                <w:b w:val="0"/>
                <w:color w:val="auto"/>
                <w:sz w:val="28"/>
                <w:szCs w:val="28"/>
              </w:rPr>
              <w:t>远程在线实时监控系统</w:t>
            </w:r>
          </w:p>
          <w:p>
            <w:pPr>
              <w:pStyle w:val="129"/>
              <w:numPr>
                <w:ilvl w:val="0"/>
                <w:numId w:val="62"/>
              </w:numPr>
              <w:ind w:firstLineChars="0"/>
              <w:jc w:val="left"/>
              <w:rPr>
                <w:rStyle w:val="40"/>
                <w:rFonts w:ascii="新宋体" w:hAnsi="新宋体" w:eastAsia="新宋体"/>
                <w:b w:val="0"/>
                <w:color w:val="auto"/>
                <w:sz w:val="28"/>
                <w:szCs w:val="28"/>
              </w:rPr>
            </w:pPr>
            <w:r>
              <w:rPr>
                <w:rStyle w:val="40"/>
                <w:rFonts w:hint="eastAsia" w:ascii="新宋体" w:hAnsi="新宋体" w:eastAsia="新宋体"/>
                <w:b w:val="0"/>
                <w:color w:val="auto"/>
                <w:sz w:val="28"/>
                <w:szCs w:val="28"/>
              </w:rPr>
              <w:t>云端后台管理系统</w:t>
            </w:r>
          </w:p>
        </w:tc>
        <w:tc>
          <w:tcPr>
            <w:tcW w:w="974" w:type="dxa"/>
            <w:vMerge w:val="continue"/>
            <w:vAlign w:val="center"/>
          </w:tcPr>
          <w:p>
            <w:pPr>
              <w:jc w:val="center"/>
              <w:rPr>
                <w:color w:val="auto"/>
                <w:sz w:val="24"/>
              </w:rPr>
            </w:pPr>
          </w:p>
        </w:tc>
        <w:tc>
          <w:tcPr>
            <w:tcW w:w="783"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94" w:hRule="atLeast"/>
          <w:jc w:val="center"/>
        </w:trPr>
        <w:tc>
          <w:tcPr>
            <w:tcW w:w="1198" w:type="dxa"/>
            <w:vMerge w:val="continue"/>
            <w:vAlign w:val="center"/>
          </w:tcPr>
          <w:p>
            <w:pPr>
              <w:jc w:val="center"/>
              <w:rPr>
                <w:b/>
                <w:color w:val="auto"/>
                <w:sz w:val="28"/>
              </w:rPr>
            </w:pPr>
          </w:p>
        </w:tc>
        <w:tc>
          <w:tcPr>
            <w:tcW w:w="981" w:type="dxa"/>
            <w:vAlign w:val="center"/>
          </w:tcPr>
          <w:p>
            <w:pPr>
              <w:jc w:val="center"/>
              <w:rPr>
                <w:b/>
                <w:color w:val="auto"/>
                <w:sz w:val="28"/>
              </w:rPr>
            </w:pPr>
            <w:r>
              <w:rPr>
                <w:rFonts w:hint="eastAsia"/>
                <w:b/>
                <w:color w:val="auto"/>
                <w:sz w:val="28"/>
              </w:rPr>
              <w:t>（三）</w:t>
            </w:r>
          </w:p>
        </w:tc>
        <w:tc>
          <w:tcPr>
            <w:tcW w:w="1947" w:type="dxa"/>
            <w:vAlign w:val="center"/>
          </w:tcPr>
          <w:p>
            <w:pPr>
              <w:jc w:val="center"/>
              <w:rPr>
                <w:rStyle w:val="40"/>
                <w:rFonts w:ascii="新宋体" w:hAnsi="新宋体" w:eastAsia="新宋体"/>
                <w:color w:val="auto"/>
                <w:sz w:val="24"/>
              </w:rPr>
            </w:pPr>
            <w:r>
              <w:rPr>
                <w:rStyle w:val="40"/>
                <w:rFonts w:hint="eastAsia" w:ascii="新宋体" w:hAnsi="新宋体" w:eastAsia="新宋体"/>
                <w:color w:val="auto"/>
                <w:sz w:val="24"/>
              </w:rPr>
              <w:t>基础设施</w:t>
            </w:r>
          </w:p>
        </w:tc>
        <w:tc>
          <w:tcPr>
            <w:tcW w:w="3617" w:type="dxa"/>
            <w:vAlign w:val="center"/>
          </w:tcPr>
          <w:p>
            <w:pPr>
              <w:pStyle w:val="129"/>
              <w:numPr>
                <w:ilvl w:val="0"/>
                <w:numId w:val="62"/>
              </w:numPr>
              <w:ind w:firstLineChars="0"/>
              <w:jc w:val="left"/>
              <w:rPr>
                <w:rStyle w:val="40"/>
                <w:rFonts w:ascii="新宋体" w:hAnsi="新宋体" w:eastAsia="新宋体"/>
                <w:b w:val="0"/>
                <w:color w:val="auto"/>
                <w:sz w:val="28"/>
                <w:szCs w:val="28"/>
              </w:rPr>
            </w:pPr>
            <w:r>
              <w:rPr>
                <w:rStyle w:val="40"/>
                <w:rFonts w:hint="eastAsia" w:ascii="新宋体" w:hAnsi="新宋体" w:eastAsia="新宋体"/>
                <w:b w:val="0"/>
                <w:color w:val="auto"/>
                <w:sz w:val="28"/>
                <w:szCs w:val="28"/>
              </w:rPr>
              <w:t>基座建设</w:t>
            </w:r>
          </w:p>
          <w:p>
            <w:pPr>
              <w:pStyle w:val="129"/>
              <w:numPr>
                <w:ilvl w:val="0"/>
                <w:numId w:val="62"/>
              </w:numPr>
              <w:ind w:firstLineChars="0"/>
              <w:jc w:val="left"/>
              <w:rPr>
                <w:rStyle w:val="40"/>
                <w:rFonts w:ascii="新宋体" w:hAnsi="新宋体" w:eastAsia="新宋体"/>
                <w:b w:val="0"/>
                <w:color w:val="auto"/>
                <w:sz w:val="28"/>
                <w:szCs w:val="28"/>
              </w:rPr>
            </w:pPr>
            <w:r>
              <w:rPr>
                <w:rStyle w:val="40"/>
                <w:rFonts w:hint="eastAsia" w:ascii="新宋体" w:hAnsi="新宋体" w:eastAsia="新宋体"/>
                <w:b w:val="0"/>
                <w:color w:val="auto"/>
                <w:sz w:val="28"/>
                <w:szCs w:val="28"/>
              </w:rPr>
              <w:t>顶棚</w:t>
            </w:r>
          </w:p>
          <w:p>
            <w:pPr>
              <w:pStyle w:val="129"/>
              <w:numPr>
                <w:ilvl w:val="0"/>
                <w:numId w:val="62"/>
              </w:numPr>
              <w:ind w:firstLineChars="0"/>
              <w:jc w:val="left"/>
              <w:rPr>
                <w:rStyle w:val="40"/>
                <w:rFonts w:ascii="新宋体" w:hAnsi="新宋体" w:eastAsia="新宋体"/>
                <w:b w:val="0"/>
                <w:color w:val="auto"/>
                <w:sz w:val="28"/>
                <w:szCs w:val="28"/>
              </w:rPr>
            </w:pPr>
            <w:r>
              <w:rPr>
                <w:rStyle w:val="40"/>
                <w:rFonts w:hint="eastAsia" w:ascii="新宋体" w:hAnsi="新宋体" w:eastAsia="新宋体"/>
                <w:b w:val="0"/>
                <w:color w:val="auto"/>
                <w:sz w:val="28"/>
                <w:szCs w:val="28"/>
              </w:rPr>
              <w:t>安全护栏</w:t>
            </w:r>
          </w:p>
          <w:p>
            <w:pPr>
              <w:pStyle w:val="129"/>
              <w:numPr>
                <w:ilvl w:val="0"/>
                <w:numId w:val="62"/>
              </w:numPr>
              <w:ind w:firstLineChars="0"/>
              <w:jc w:val="left"/>
              <w:rPr>
                <w:rStyle w:val="40"/>
                <w:rFonts w:ascii="新宋体" w:hAnsi="新宋体" w:eastAsia="新宋体"/>
                <w:b w:val="0"/>
                <w:color w:val="auto"/>
                <w:sz w:val="28"/>
                <w:szCs w:val="28"/>
              </w:rPr>
            </w:pPr>
            <w:r>
              <w:rPr>
                <w:rStyle w:val="40"/>
                <w:rFonts w:hint="eastAsia" w:ascii="新宋体" w:hAnsi="新宋体" w:eastAsia="新宋体"/>
                <w:b w:val="0"/>
                <w:color w:val="auto"/>
                <w:sz w:val="28"/>
                <w:szCs w:val="28"/>
              </w:rPr>
              <w:t>个人安全防护紧急冲淋系统</w:t>
            </w:r>
          </w:p>
        </w:tc>
        <w:tc>
          <w:tcPr>
            <w:tcW w:w="974" w:type="dxa"/>
            <w:vMerge w:val="continue"/>
            <w:vAlign w:val="center"/>
          </w:tcPr>
          <w:p>
            <w:pPr>
              <w:jc w:val="center"/>
              <w:rPr>
                <w:color w:val="auto"/>
                <w:sz w:val="24"/>
              </w:rPr>
            </w:pPr>
          </w:p>
        </w:tc>
        <w:tc>
          <w:tcPr>
            <w:tcW w:w="783" w:type="dxa"/>
            <w:vAlign w:val="center"/>
          </w:tcPr>
          <w:p>
            <w:pPr>
              <w:jc w:val="center"/>
              <w:rPr>
                <w:color w:val="auto"/>
              </w:rPr>
            </w:pPr>
          </w:p>
        </w:tc>
      </w:tr>
    </w:tbl>
    <w:p>
      <w:pPr>
        <w:rPr>
          <w:color w:val="auto"/>
        </w:rPr>
      </w:pPr>
    </w:p>
    <w:p>
      <w:pPr>
        <w:rPr>
          <w:color w:val="auto"/>
        </w:rPr>
      </w:pPr>
    </w:p>
    <w:p>
      <w:pPr>
        <w:pStyle w:val="3"/>
        <w:spacing w:line="360" w:lineRule="auto"/>
        <w:rPr>
          <w:color w:val="auto"/>
          <w:sz w:val="44"/>
        </w:rPr>
      </w:pPr>
      <w:bookmarkStart w:id="207" w:name="_Toc513029971"/>
      <w:bookmarkStart w:id="208" w:name="_Toc525285080"/>
      <w:r>
        <w:rPr>
          <w:color w:val="auto"/>
        </w:rPr>
        <w:br w:type="page"/>
      </w:r>
    </w:p>
    <w:bookmarkEnd w:id="207"/>
    <w:bookmarkEnd w:id="208"/>
    <w:tbl>
      <w:tblPr>
        <w:tblStyle w:val="47"/>
        <w:tblW w:w="9980" w:type="dxa"/>
        <w:tblInd w:w="-7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8"/>
        <w:gridCol w:w="1377"/>
        <w:gridCol w:w="7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8" w:hRule="atLeast"/>
          <w:tblHeader/>
        </w:trPr>
        <w:tc>
          <w:tcPr>
            <w:tcW w:w="9980" w:type="dxa"/>
            <w:gridSpan w:val="3"/>
            <w:tcBorders>
              <w:top w:val="nil"/>
              <w:left w:val="nil"/>
              <w:bottom w:val="single" w:color="auto" w:sz="4" w:space="0"/>
              <w:right w:val="nil"/>
            </w:tcBorders>
            <w:shd w:val="clear" w:color="auto" w:fill="auto"/>
            <w:vAlign w:val="center"/>
          </w:tcPr>
          <w:p>
            <w:pPr>
              <w:ind w:left="-420" w:leftChars="-200"/>
              <w:jc w:val="center"/>
              <w:rPr>
                <w:color w:val="auto"/>
              </w:rPr>
            </w:pPr>
            <w:r>
              <w:rPr>
                <w:rFonts w:hint="eastAsia"/>
                <w:b/>
                <w:bCs/>
                <w:color w:val="auto"/>
                <w:sz w:val="32"/>
                <w:szCs w:val="32"/>
              </w:rPr>
              <w:t>功能、参数描述及配置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0" w:hRule="atLeast"/>
          <w:tblHeader/>
        </w:trPr>
        <w:tc>
          <w:tcPr>
            <w:tcW w:w="698" w:type="dxa"/>
            <w:tcBorders>
              <w:top w:val="single" w:color="auto" w:sz="4" w:space="0"/>
            </w:tcBorders>
            <w:shd w:val="clear" w:color="auto" w:fill="214F87"/>
            <w:vAlign w:val="center"/>
          </w:tcPr>
          <w:p>
            <w:pPr>
              <w:spacing w:line="360" w:lineRule="auto"/>
              <w:jc w:val="center"/>
              <w:rPr>
                <w:b/>
                <w:color w:val="auto"/>
                <w:sz w:val="24"/>
              </w:rPr>
            </w:pPr>
            <w:r>
              <w:rPr>
                <w:rFonts w:hint="eastAsia"/>
                <w:b/>
                <w:color w:val="auto"/>
                <w:sz w:val="24"/>
              </w:rPr>
              <w:t>序号</w:t>
            </w:r>
          </w:p>
        </w:tc>
        <w:tc>
          <w:tcPr>
            <w:tcW w:w="1377" w:type="dxa"/>
            <w:tcBorders>
              <w:top w:val="single" w:color="auto" w:sz="4" w:space="0"/>
            </w:tcBorders>
            <w:shd w:val="clear" w:color="auto" w:fill="214F87"/>
            <w:vAlign w:val="center"/>
          </w:tcPr>
          <w:p>
            <w:pPr>
              <w:spacing w:line="360" w:lineRule="auto"/>
              <w:jc w:val="center"/>
              <w:rPr>
                <w:b/>
                <w:color w:val="auto"/>
                <w:sz w:val="24"/>
              </w:rPr>
            </w:pPr>
            <w:r>
              <w:rPr>
                <w:rFonts w:hint="eastAsia"/>
                <w:b/>
                <w:color w:val="auto"/>
                <w:sz w:val="24"/>
              </w:rPr>
              <w:t>设备名称</w:t>
            </w:r>
          </w:p>
        </w:tc>
        <w:tc>
          <w:tcPr>
            <w:tcW w:w="7905" w:type="dxa"/>
            <w:tcBorders>
              <w:top w:val="single" w:color="auto" w:sz="4" w:space="0"/>
            </w:tcBorders>
            <w:shd w:val="clear" w:color="auto" w:fill="214F87"/>
            <w:vAlign w:val="center"/>
          </w:tcPr>
          <w:p>
            <w:pPr>
              <w:spacing w:line="360" w:lineRule="auto"/>
              <w:jc w:val="center"/>
              <w:rPr>
                <w:b/>
                <w:color w:val="auto"/>
                <w:sz w:val="24"/>
              </w:rPr>
            </w:pPr>
            <w:r>
              <w:rPr>
                <w:rFonts w:hint="eastAsia"/>
                <w:b/>
                <w:color w:val="auto"/>
                <w:sz w:val="24"/>
              </w:rPr>
              <w:t>功能、参数描述及配置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blHeader/>
        </w:trPr>
        <w:tc>
          <w:tcPr>
            <w:tcW w:w="9980" w:type="dxa"/>
            <w:gridSpan w:val="3"/>
            <w:shd w:val="clear" w:color="auto" w:fill="DBE5F1"/>
            <w:vAlign w:val="center"/>
          </w:tcPr>
          <w:p>
            <w:pPr>
              <w:spacing w:line="360" w:lineRule="auto"/>
              <w:jc w:val="center"/>
              <w:rPr>
                <w:b/>
                <w:color w:val="auto"/>
              </w:rPr>
            </w:pPr>
            <w:r>
              <w:rPr>
                <w:rFonts w:hint="eastAsia"/>
                <w:b/>
                <w:color w:val="auto"/>
                <w:sz w:val="24"/>
              </w:rPr>
              <w:t>（一）、实验室废弃物暂存柜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9" w:hRule="atLeast"/>
          <w:tblHeader/>
        </w:trPr>
        <w:tc>
          <w:tcPr>
            <w:tcW w:w="698" w:type="dxa"/>
            <w:vMerge w:val="restart"/>
            <w:shd w:val="clear" w:color="auto" w:fill="B8CCE4"/>
            <w:vAlign w:val="center"/>
          </w:tcPr>
          <w:p>
            <w:pPr>
              <w:pStyle w:val="129"/>
              <w:numPr>
                <w:ilvl w:val="0"/>
                <w:numId w:val="63"/>
              </w:numPr>
              <w:spacing w:line="360" w:lineRule="auto"/>
              <w:ind w:firstLineChars="0"/>
              <w:jc w:val="center"/>
              <w:rPr>
                <w:color w:val="auto"/>
              </w:rPr>
            </w:pPr>
          </w:p>
        </w:tc>
        <w:tc>
          <w:tcPr>
            <w:tcW w:w="1377" w:type="dxa"/>
            <w:vMerge w:val="restart"/>
            <w:vAlign w:val="center"/>
          </w:tcPr>
          <w:p>
            <w:pPr>
              <w:pStyle w:val="129"/>
              <w:spacing w:line="360" w:lineRule="auto"/>
              <w:ind w:left="420" w:firstLine="0" w:firstLineChars="0"/>
              <w:jc w:val="left"/>
              <w:rPr>
                <w:b/>
                <w:color w:val="auto"/>
                <w:sz w:val="24"/>
              </w:rPr>
            </w:pPr>
            <w:r>
              <w:rPr>
                <w:rFonts w:hint="eastAsia"/>
                <w:b/>
                <w:color w:val="auto"/>
                <w:sz w:val="24"/>
              </w:rPr>
              <w:t>主柜体</w:t>
            </w:r>
          </w:p>
        </w:tc>
        <w:tc>
          <w:tcPr>
            <w:tcW w:w="7905" w:type="dxa"/>
            <w:vAlign w:val="center"/>
          </w:tcPr>
          <w:p>
            <w:pPr>
              <w:jc w:val="left"/>
              <w:rPr>
                <w:color w:val="auto"/>
                <w:sz w:val="24"/>
              </w:rPr>
            </w:pPr>
            <w:r>
              <w:rPr>
                <w:color w:val="auto"/>
                <w:sz w:val="24"/>
              </w:rPr>
              <w:t>1.1</w:t>
            </w:r>
            <w:r>
              <w:rPr>
                <w:rFonts w:hint="eastAsia"/>
                <w:color w:val="auto"/>
                <w:sz w:val="24"/>
              </w:rPr>
              <w:t>规格（</w:t>
            </w:r>
            <w:r>
              <w:rPr>
                <w:color w:val="auto"/>
                <w:sz w:val="24"/>
              </w:rPr>
              <w:t>L*W*H</w:t>
            </w:r>
            <w:r>
              <w:rPr>
                <w:rFonts w:hint="eastAsia"/>
                <w:color w:val="auto"/>
                <w:sz w:val="24"/>
              </w:rPr>
              <w:t>）：</w:t>
            </w:r>
            <w:r>
              <w:rPr>
                <w:color w:val="auto"/>
                <w:sz w:val="24"/>
              </w:rPr>
              <w:t>6000mm*2500mm*2900mm</w:t>
            </w:r>
            <w:r>
              <w:rPr>
                <w:rFonts w:hint="eastAsia"/>
                <w:color w:val="auto"/>
                <w:sz w:val="24"/>
              </w:rPr>
              <w:t>，偏差</w:t>
            </w:r>
            <w:r>
              <w:rPr>
                <w:color w:val="auto"/>
                <w:sz w:val="24"/>
              </w:rPr>
              <w:t>±5%</w:t>
            </w:r>
            <w:r>
              <w:rPr>
                <w:rFonts w:hint="eastAsia"/>
                <w:color w:val="auto"/>
                <w:sz w:val="24"/>
              </w:rPr>
              <w:t>。外形尺寸为标准集装箱尺寸，方便移动运输；</w:t>
            </w:r>
          </w:p>
          <w:p>
            <w:pPr>
              <w:jc w:val="left"/>
              <w:rPr>
                <w:color w:val="auto"/>
                <w:sz w:val="24"/>
              </w:rPr>
            </w:pPr>
            <w:r>
              <w:rPr>
                <w:rFonts w:hint="eastAsia"/>
                <w:color w:val="auto"/>
                <w:sz w:val="24"/>
              </w:rPr>
              <w:t>★外形要求：柜体正入口整体向内部凹</w:t>
            </w:r>
            <w:r>
              <w:rPr>
                <w:color w:val="auto"/>
                <w:sz w:val="24"/>
              </w:rPr>
              <w:t>500mm</w:t>
            </w:r>
            <w:r>
              <w:rPr>
                <w:rFonts w:hint="eastAsia"/>
                <w:color w:val="auto"/>
                <w:sz w:val="24"/>
              </w:rPr>
              <w:t>，预留人员操作及防护准备的空间。</w:t>
            </w:r>
          </w:p>
          <w:p>
            <w:pPr>
              <w:jc w:val="left"/>
              <w:rPr>
                <w:color w:val="auto"/>
                <w:sz w:val="24"/>
              </w:rPr>
            </w:pPr>
            <w:r>
              <w:rPr>
                <w:rFonts w:hint="eastAsia"/>
                <w:color w:val="auto"/>
                <w:sz w:val="24"/>
              </w:rPr>
              <w:t>提供已使用客户现场实景照片并提供实际用户的单位名称、联系人及联系电话，已备核实。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5"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pStyle w:val="129"/>
              <w:spacing w:line="360" w:lineRule="auto"/>
              <w:ind w:left="420" w:firstLine="0" w:firstLineChars="0"/>
              <w:jc w:val="center"/>
              <w:rPr>
                <w:b/>
                <w:color w:val="auto"/>
                <w:sz w:val="24"/>
              </w:rPr>
            </w:pPr>
          </w:p>
        </w:tc>
        <w:tc>
          <w:tcPr>
            <w:tcW w:w="7905" w:type="dxa"/>
            <w:vAlign w:val="center"/>
          </w:tcPr>
          <w:p>
            <w:pPr>
              <w:jc w:val="left"/>
              <w:rPr>
                <w:color w:val="auto"/>
                <w:sz w:val="24"/>
              </w:rPr>
            </w:pPr>
            <w:r>
              <w:rPr>
                <w:color w:val="auto"/>
                <w:sz w:val="24"/>
              </w:rPr>
              <w:t>1.2</w:t>
            </w:r>
            <w:r>
              <w:rPr>
                <w:rFonts w:hint="eastAsia"/>
                <w:color w:val="auto"/>
                <w:sz w:val="24"/>
              </w:rPr>
              <w:t>柜体框架主要为</w:t>
            </w:r>
            <w:r>
              <w:rPr>
                <w:color w:val="auto"/>
                <w:sz w:val="24"/>
              </w:rPr>
              <w:t>corten A</w:t>
            </w:r>
            <w:r>
              <w:rPr>
                <w:rFonts w:hint="eastAsia"/>
                <w:color w:val="auto"/>
                <w:sz w:val="24"/>
              </w:rPr>
              <w:t>钢板，柜体具有防腐功能。外柜体由钢质的框架、垂直波纹的侧板和端面、全部横向的垂直波纹的顶板，材为</w:t>
            </w:r>
            <w:r>
              <w:rPr>
                <w:color w:val="auto"/>
                <w:sz w:val="24"/>
              </w:rPr>
              <w:t>3mm-6mm</w:t>
            </w:r>
            <w:r>
              <w:rPr>
                <w:rFonts w:hint="eastAsia"/>
                <w:color w:val="auto"/>
                <w:sz w:val="24"/>
              </w:rPr>
              <w:t>经过预处理的热轧板，除型材外全部为</w:t>
            </w:r>
            <w:r>
              <w:rPr>
                <w:color w:val="auto"/>
                <w:sz w:val="24"/>
              </w:rPr>
              <w:t>3mm</w:t>
            </w:r>
            <w:r>
              <w:rPr>
                <w:rFonts w:hint="eastAsia"/>
                <w:color w:val="auto"/>
                <w:sz w:val="24"/>
              </w:rPr>
              <w:t>冷轧钢板压制而成。箱体</w:t>
            </w:r>
            <w:r>
              <w:rPr>
                <w:color w:val="auto"/>
                <w:sz w:val="24"/>
              </w:rPr>
              <w:t>8</w:t>
            </w:r>
            <w:r>
              <w:rPr>
                <w:rFonts w:hint="eastAsia"/>
                <w:color w:val="auto"/>
                <w:sz w:val="24"/>
              </w:rPr>
              <w:t>个角采用标准</w:t>
            </w:r>
            <w:r>
              <w:rPr>
                <w:color w:val="auto"/>
                <w:sz w:val="24"/>
              </w:rPr>
              <w:t>ISO</w:t>
            </w:r>
            <w:r>
              <w:rPr>
                <w:rFonts w:hint="eastAsia"/>
                <w:color w:val="auto"/>
                <w:sz w:val="24"/>
              </w:rPr>
              <w:t>角件。防火门上加装通风百叶窗，百叶窗内部。柜体外部整体喷涂防锈油漆，内墙壁涂覆防腐油漆，全柜整体具有防腐能力；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pStyle w:val="129"/>
              <w:spacing w:line="360" w:lineRule="auto"/>
              <w:ind w:left="420" w:firstLine="0" w:firstLineChars="0"/>
              <w:jc w:val="center"/>
              <w:rPr>
                <w:b/>
                <w:color w:val="auto"/>
                <w:sz w:val="24"/>
              </w:rPr>
            </w:pPr>
          </w:p>
        </w:tc>
        <w:tc>
          <w:tcPr>
            <w:tcW w:w="7905" w:type="dxa"/>
            <w:vAlign w:val="center"/>
          </w:tcPr>
          <w:p>
            <w:pPr>
              <w:jc w:val="left"/>
              <w:rPr>
                <w:color w:val="auto"/>
                <w:sz w:val="24"/>
              </w:rPr>
            </w:pPr>
            <w:r>
              <w:rPr>
                <w:color w:val="auto"/>
                <w:sz w:val="24"/>
              </w:rPr>
              <w:t>1.3</w:t>
            </w:r>
            <w:r>
              <w:rPr>
                <w:rFonts w:hint="eastAsia"/>
                <w:color w:val="auto"/>
                <w:sz w:val="24"/>
              </w:rPr>
              <w:t>柜体设有可从内部打开的钢制防火防盗门</w:t>
            </w:r>
            <w:r>
              <w:rPr>
                <w:color w:val="auto"/>
                <w:sz w:val="24"/>
              </w:rPr>
              <w:t>,</w:t>
            </w:r>
            <w:r>
              <w:rPr>
                <w:rFonts w:hint="eastAsia"/>
                <w:color w:val="auto"/>
                <w:sz w:val="24"/>
              </w:rPr>
              <w:t>分别为正面出入防盗门和背面应急防盗门；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pStyle w:val="129"/>
              <w:spacing w:line="360" w:lineRule="auto"/>
              <w:ind w:left="420" w:firstLine="0" w:firstLineChars="0"/>
              <w:jc w:val="center"/>
              <w:rPr>
                <w:b/>
                <w:color w:val="auto"/>
                <w:sz w:val="24"/>
              </w:rPr>
            </w:pPr>
          </w:p>
        </w:tc>
        <w:tc>
          <w:tcPr>
            <w:tcW w:w="7905" w:type="dxa"/>
            <w:vAlign w:val="center"/>
          </w:tcPr>
          <w:p>
            <w:pPr>
              <w:jc w:val="left"/>
              <w:rPr>
                <w:color w:val="auto"/>
                <w:sz w:val="24"/>
              </w:rPr>
            </w:pPr>
            <w:r>
              <w:rPr>
                <w:color w:val="auto"/>
                <w:sz w:val="24"/>
              </w:rPr>
              <w:t>1.4</w:t>
            </w:r>
            <w:r>
              <w:rPr>
                <w:rFonts w:hint="eastAsia"/>
                <w:color w:val="auto"/>
                <w:sz w:val="24"/>
              </w:rPr>
              <w:t>柜体两侧各开四个通风百叶窗，百叶窗内部增加防虫鼠网，通风装置的材料为不可燃或阻燃材质；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2"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pStyle w:val="129"/>
              <w:spacing w:line="360" w:lineRule="auto"/>
              <w:ind w:left="420" w:firstLine="0" w:firstLineChars="0"/>
              <w:jc w:val="center"/>
              <w:rPr>
                <w:b/>
                <w:color w:val="auto"/>
                <w:sz w:val="24"/>
              </w:rPr>
            </w:pPr>
          </w:p>
        </w:tc>
        <w:tc>
          <w:tcPr>
            <w:tcW w:w="7905" w:type="dxa"/>
            <w:vAlign w:val="center"/>
          </w:tcPr>
          <w:p>
            <w:pPr>
              <w:jc w:val="left"/>
              <w:rPr>
                <w:color w:val="auto"/>
                <w:sz w:val="24"/>
              </w:rPr>
            </w:pPr>
            <w:r>
              <w:rPr>
                <w:color w:val="auto"/>
                <w:sz w:val="24"/>
              </w:rPr>
              <w:t>1.5</w:t>
            </w:r>
            <w:r>
              <w:rPr>
                <w:rFonts w:hint="eastAsia"/>
                <w:color w:val="auto"/>
                <w:sz w:val="24"/>
              </w:rPr>
              <w:t>柜体为双层保温结构</w:t>
            </w:r>
            <w:r>
              <w:rPr>
                <w:color w:val="auto"/>
                <w:sz w:val="24"/>
              </w:rPr>
              <w:t>,</w:t>
            </w:r>
            <w:r>
              <w:rPr>
                <w:rFonts w:hint="eastAsia"/>
                <w:color w:val="auto"/>
                <w:sz w:val="24"/>
              </w:rPr>
              <w:t>柜体内壁使用</w:t>
            </w:r>
            <w:r>
              <w:rPr>
                <w:color w:val="auto"/>
                <w:sz w:val="24"/>
              </w:rPr>
              <w:t>A</w:t>
            </w:r>
            <w:r>
              <w:rPr>
                <w:rFonts w:hint="eastAsia"/>
                <w:color w:val="auto"/>
                <w:sz w:val="24"/>
              </w:rPr>
              <w:t>级防火隔热，隔热层厚度≥</w:t>
            </w:r>
            <w:r>
              <w:rPr>
                <w:color w:val="auto"/>
                <w:sz w:val="24"/>
              </w:rPr>
              <w:t>50mm</w:t>
            </w:r>
            <w:r>
              <w:rPr>
                <w:rFonts w:hint="eastAsia"/>
                <w:color w:val="auto"/>
                <w:sz w:val="24"/>
              </w:rPr>
              <w:t>；密度不低于</w:t>
            </w:r>
            <w:r>
              <w:rPr>
                <w:color w:val="auto"/>
                <w:sz w:val="24"/>
              </w:rPr>
              <w:t>128kg/m</w:t>
            </w:r>
            <w:r>
              <w:rPr>
                <w:rFonts w:hint="eastAsia"/>
                <w:color w:val="auto"/>
                <w:sz w:val="24"/>
              </w:rPr>
              <w:t>³的保温阻燃陶瓷纤维；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pStyle w:val="129"/>
              <w:spacing w:line="360" w:lineRule="auto"/>
              <w:ind w:left="420" w:firstLine="0" w:firstLineChars="0"/>
              <w:jc w:val="center"/>
              <w:rPr>
                <w:b/>
                <w:color w:val="auto"/>
                <w:sz w:val="24"/>
              </w:rPr>
            </w:pPr>
          </w:p>
        </w:tc>
        <w:tc>
          <w:tcPr>
            <w:tcW w:w="7905" w:type="dxa"/>
            <w:vAlign w:val="center"/>
          </w:tcPr>
          <w:p>
            <w:pPr>
              <w:jc w:val="left"/>
              <w:rPr>
                <w:color w:val="auto"/>
                <w:sz w:val="24"/>
              </w:rPr>
            </w:pPr>
            <w:r>
              <w:rPr>
                <w:color w:val="auto"/>
                <w:sz w:val="24"/>
              </w:rPr>
              <w:t>1.6</w:t>
            </w:r>
            <w:r>
              <w:rPr>
                <w:rFonts w:hint="eastAsia"/>
                <w:color w:val="auto"/>
                <w:sz w:val="24"/>
              </w:rPr>
              <w:t>柜体内部地板采用不发火花房静电防腐地胶板，厚度≥</w:t>
            </w:r>
            <w:r>
              <w:rPr>
                <w:color w:val="auto"/>
                <w:sz w:val="24"/>
              </w:rPr>
              <w:t>3mm</w:t>
            </w:r>
            <w:r>
              <w:rPr>
                <w:rFonts w:hint="eastAsia"/>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pStyle w:val="129"/>
              <w:spacing w:line="360" w:lineRule="auto"/>
              <w:ind w:left="420" w:firstLine="0" w:firstLineChars="0"/>
              <w:jc w:val="center"/>
              <w:rPr>
                <w:b/>
                <w:color w:val="auto"/>
                <w:sz w:val="24"/>
              </w:rPr>
            </w:pPr>
          </w:p>
        </w:tc>
        <w:tc>
          <w:tcPr>
            <w:tcW w:w="7905" w:type="dxa"/>
            <w:vAlign w:val="center"/>
          </w:tcPr>
          <w:p>
            <w:pPr>
              <w:jc w:val="left"/>
              <w:rPr>
                <w:color w:val="auto"/>
                <w:sz w:val="24"/>
              </w:rPr>
            </w:pPr>
            <w:r>
              <w:rPr>
                <w:color w:val="auto"/>
                <w:sz w:val="24"/>
              </w:rPr>
              <w:t>1.7</w:t>
            </w:r>
            <w:r>
              <w:rPr>
                <w:rFonts w:hint="eastAsia"/>
                <w:color w:val="auto"/>
                <w:sz w:val="24"/>
              </w:rPr>
              <w:t>柜体具有泄压设施或泄压点，泄压面积应≥</w:t>
            </w:r>
            <w:r>
              <w:rPr>
                <w:color w:val="auto"/>
                <w:sz w:val="24"/>
              </w:rPr>
              <w:t xml:space="preserve">0.110 </w:t>
            </w:r>
            <w:r>
              <w:rPr>
                <w:rFonts w:hint="eastAsia"/>
                <w:color w:val="auto"/>
                <w:sz w:val="24"/>
              </w:rPr>
              <w:t>㎡</w:t>
            </w:r>
            <w:r>
              <w:rPr>
                <w:color w:val="auto"/>
                <w:sz w:val="24"/>
              </w:rPr>
              <w:t>/m</w:t>
            </w:r>
            <w:r>
              <w:rPr>
                <w:rFonts w:hint="eastAsia"/>
                <w:color w:val="auto"/>
                <w:sz w:val="24"/>
              </w:rPr>
              <w:t>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pStyle w:val="129"/>
              <w:spacing w:line="360" w:lineRule="auto"/>
              <w:ind w:left="420" w:firstLine="0" w:firstLineChars="0"/>
              <w:jc w:val="center"/>
              <w:rPr>
                <w:b/>
                <w:color w:val="auto"/>
                <w:sz w:val="24"/>
              </w:rPr>
            </w:pPr>
          </w:p>
        </w:tc>
        <w:tc>
          <w:tcPr>
            <w:tcW w:w="7905" w:type="dxa"/>
            <w:vAlign w:val="center"/>
          </w:tcPr>
          <w:p>
            <w:pPr>
              <w:jc w:val="left"/>
              <w:rPr>
                <w:color w:val="auto"/>
                <w:sz w:val="24"/>
              </w:rPr>
            </w:pPr>
            <w:r>
              <w:rPr>
                <w:color w:val="auto"/>
                <w:sz w:val="24"/>
              </w:rPr>
              <w:t>1.8</w:t>
            </w:r>
            <w:r>
              <w:rPr>
                <w:rFonts w:hint="eastAsia"/>
                <w:color w:val="auto"/>
                <w:sz w:val="24"/>
              </w:rPr>
              <w:t>柜体所有门窗开合部分采取有效措施排除因开关时摩擦碰撞可能产生的火花。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pStyle w:val="129"/>
              <w:spacing w:line="360" w:lineRule="auto"/>
              <w:ind w:left="420" w:firstLine="0" w:firstLineChars="0"/>
              <w:jc w:val="center"/>
              <w:rPr>
                <w:b/>
                <w:color w:val="auto"/>
                <w:sz w:val="24"/>
              </w:rPr>
            </w:pPr>
          </w:p>
        </w:tc>
        <w:tc>
          <w:tcPr>
            <w:tcW w:w="7905" w:type="dxa"/>
            <w:vAlign w:val="center"/>
          </w:tcPr>
          <w:p>
            <w:pPr>
              <w:jc w:val="left"/>
              <w:rPr>
                <w:color w:val="auto"/>
                <w:sz w:val="24"/>
              </w:rPr>
            </w:pPr>
            <w:r>
              <w:rPr>
                <w:color w:val="auto"/>
                <w:sz w:val="24"/>
              </w:rPr>
              <w:t>1.9</w:t>
            </w:r>
            <w:r>
              <w:rPr>
                <w:rFonts w:hint="eastAsia"/>
                <w:color w:val="auto"/>
                <w:sz w:val="24"/>
              </w:rPr>
              <w:t>采用标准国际海运集装箱作为柜体，柜体框架需符合国际船级社检测标准，具有《船级社证书》。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5" w:hRule="atLeast"/>
          <w:tblHeader/>
        </w:trPr>
        <w:tc>
          <w:tcPr>
            <w:tcW w:w="698" w:type="dxa"/>
            <w:vMerge w:val="restart"/>
            <w:shd w:val="clear" w:color="auto" w:fill="B8CCE4"/>
            <w:vAlign w:val="center"/>
          </w:tcPr>
          <w:p>
            <w:pPr>
              <w:pStyle w:val="129"/>
              <w:numPr>
                <w:ilvl w:val="0"/>
                <w:numId w:val="63"/>
              </w:numPr>
              <w:spacing w:line="360" w:lineRule="auto"/>
              <w:ind w:firstLineChars="0"/>
              <w:jc w:val="center"/>
              <w:rPr>
                <w:color w:val="auto"/>
              </w:rPr>
            </w:pPr>
          </w:p>
        </w:tc>
        <w:tc>
          <w:tcPr>
            <w:tcW w:w="1377" w:type="dxa"/>
            <w:vMerge w:val="restart"/>
            <w:vAlign w:val="center"/>
          </w:tcPr>
          <w:p>
            <w:pPr>
              <w:spacing w:line="360" w:lineRule="auto"/>
              <w:jc w:val="center"/>
              <w:rPr>
                <w:rFonts w:ascii="新宋体" w:hAnsi="新宋体" w:eastAsia="新宋体"/>
                <w:bCs/>
                <w:color w:val="auto"/>
                <w:sz w:val="24"/>
              </w:rPr>
            </w:pPr>
            <w:r>
              <w:rPr>
                <w:rStyle w:val="40"/>
                <w:rFonts w:hint="eastAsia" w:ascii="新宋体" w:hAnsi="新宋体" w:eastAsia="新宋体"/>
                <w:color w:val="auto"/>
                <w:sz w:val="24"/>
              </w:rPr>
              <w:t>分类储存功能</w:t>
            </w:r>
          </w:p>
        </w:tc>
        <w:tc>
          <w:tcPr>
            <w:tcW w:w="7905" w:type="dxa"/>
            <w:vAlign w:val="center"/>
          </w:tcPr>
          <w:p>
            <w:pPr>
              <w:jc w:val="left"/>
              <w:rPr>
                <w:b/>
                <w:color w:val="auto"/>
                <w:sz w:val="24"/>
              </w:rPr>
            </w:pPr>
            <w:r>
              <w:rPr>
                <w:color w:val="auto"/>
                <w:sz w:val="24"/>
              </w:rPr>
              <w:t>2.1</w:t>
            </w:r>
            <w:r>
              <w:rPr>
                <w:rFonts w:hint="eastAsia"/>
                <w:color w:val="auto"/>
                <w:sz w:val="24"/>
              </w:rPr>
              <w:t>开放式货架：</w:t>
            </w:r>
          </w:p>
          <w:p>
            <w:pPr>
              <w:jc w:val="left"/>
              <w:rPr>
                <w:color w:val="auto"/>
                <w:sz w:val="24"/>
              </w:rPr>
            </w:pPr>
            <w:r>
              <w:rPr>
                <w:color w:val="auto"/>
                <w:sz w:val="24"/>
              </w:rPr>
              <w:t>2.1.1</w:t>
            </w:r>
            <w:r>
              <w:rPr>
                <w:rFonts w:hint="eastAsia"/>
                <w:color w:val="auto"/>
                <w:sz w:val="24"/>
              </w:rPr>
              <w:t>货架规格</w:t>
            </w:r>
            <w:r>
              <w:rPr>
                <w:color w:val="auto"/>
                <w:sz w:val="24"/>
              </w:rPr>
              <w:t>(</w:t>
            </w:r>
            <w:r>
              <w:rPr>
                <w:rFonts w:hint="eastAsia"/>
                <w:color w:val="auto"/>
                <w:sz w:val="24"/>
              </w:rPr>
              <w:t>长</w:t>
            </w:r>
            <w:r>
              <w:rPr>
                <w:color w:val="auto"/>
                <w:sz w:val="24"/>
              </w:rPr>
              <w:t>x</w:t>
            </w:r>
            <w:r>
              <w:rPr>
                <w:rFonts w:hint="eastAsia"/>
                <w:color w:val="auto"/>
                <w:sz w:val="24"/>
              </w:rPr>
              <w:t>宽</w:t>
            </w:r>
            <w:r>
              <w:rPr>
                <w:color w:val="auto"/>
                <w:sz w:val="24"/>
              </w:rPr>
              <w:t>x</w:t>
            </w:r>
            <w:r>
              <w:rPr>
                <w:rFonts w:hint="eastAsia"/>
                <w:color w:val="auto"/>
                <w:sz w:val="24"/>
              </w:rPr>
              <w:t>高</w:t>
            </w:r>
            <w:r>
              <w:rPr>
                <w:color w:val="auto"/>
                <w:sz w:val="24"/>
              </w:rPr>
              <w:t>)1500mm</w:t>
            </w:r>
            <w:r>
              <w:rPr>
                <w:rFonts w:hint="eastAsia"/>
                <w:color w:val="auto"/>
                <w:sz w:val="24"/>
              </w:rPr>
              <w:t>×</w:t>
            </w:r>
            <w:r>
              <w:rPr>
                <w:color w:val="auto"/>
                <w:sz w:val="24"/>
              </w:rPr>
              <w:t>500mm</w:t>
            </w:r>
            <w:r>
              <w:rPr>
                <w:rFonts w:hint="eastAsia"/>
                <w:color w:val="auto"/>
                <w:sz w:val="24"/>
              </w:rPr>
              <w:t>×</w:t>
            </w:r>
            <w:r>
              <w:rPr>
                <w:color w:val="auto"/>
                <w:sz w:val="24"/>
              </w:rPr>
              <w:t>1500mm</w:t>
            </w:r>
            <w:r>
              <w:rPr>
                <w:rFonts w:hint="eastAsia"/>
                <w:color w:val="auto"/>
                <w:sz w:val="24"/>
              </w:rPr>
              <w:t>，组合式安装；货架分为三层，每层承重≥</w:t>
            </w:r>
            <w:r>
              <w:rPr>
                <w:color w:val="auto"/>
                <w:sz w:val="24"/>
              </w:rPr>
              <w:t>300Kg</w:t>
            </w:r>
            <w:r>
              <w:rPr>
                <w:rFonts w:hint="eastAsia"/>
                <w:color w:val="auto"/>
                <w:sz w:val="24"/>
              </w:rPr>
              <w:t>，每层有可拆卸防倒护栏；</w:t>
            </w:r>
          </w:p>
          <w:p>
            <w:pPr>
              <w:jc w:val="left"/>
              <w:rPr>
                <w:color w:val="auto"/>
                <w:sz w:val="24"/>
              </w:rPr>
            </w:pPr>
            <w:r>
              <w:rPr>
                <w:color w:val="auto"/>
                <w:sz w:val="24"/>
              </w:rPr>
              <w:t>2.1.2</w:t>
            </w:r>
            <w:r>
              <w:rPr>
                <w:rFonts w:hint="eastAsia"/>
                <w:color w:val="auto"/>
                <w:sz w:val="24"/>
              </w:rPr>
              <w:t>开放式货架采用</w:t>
            </w:r>
            <w:r>
              <w:rPr>
                <w:color w:val="auto"/>
                <w:sz w:val="24"/>
              </w:rPr>
              <w:t>316L</w:t>
            </w:r>
            <w:r>
              <w:rPr>
                <w:rFonts w:hint="eastAsia"/>
                <w:color w:val="auto"/>
                <w:sz w:val="24"/>
              </w:rPr>
              <w:t>壁厚型不锈钢材料，不锈钢构件均经过酸洗钝化以及静电处理，确保其耐腐蚀性能；</w:t>
            </w:r>
          </w:p>
          <w:p>
            <w:pPr>
              <w:jc w:val="left"/>
              <w:rPr>
                <w:color w:val="auto"/>
                <w:sz w:val="24"/>
              </w:rPr>
            </w:pPr>
            <w:r>
              <w:rPr>
                <w:color w:val="auto"/>
                <w:sz w:val="24"/>
              </w:rPr>
              <w:t>2.1.3</w:t>
            </w:r>
            <w:r>
              <w:rPr>
                <w:rFonts w:hint="eastAsia"/>
                <w:color w:val="auto"/>
                <w:sz w:val="24"/>
              </w:rPr>
              <w:t>金属部件连接处经过静电处理。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1"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rStyle w:val="40"/>
                <w:rFonts w:ascii="新宋体" w:hAnsi="新宋体" w:eastAsia="新宋体"/>
                <w:color w:val="auto"/>
                <w:sz w:val="24"/>
              </w:rPr>
            </w:pPr>
          </w:p>
        </w:tc>
        <w:tc>
          <w:tcPr>
            <w:tcW w:w="7905" w:type="dxa"/>
            <w:vAlign w:val="center"/>
          </w:tcPr>
          <w:p>
            <w:pPr>
              <w:jc w:val="left"/>
              <w:rPr>
                <w:color w:val="auto"/>
                <w:sz w:val="24"/>
              </w:rPr>
            </w:pPr>
            <w:r>
              <w:rPr>
                <w:color w:val="auto"/>
                <w:sz w:val="24"/>
              </w:rPr>
              <w:t>2.2 PP</w:t>
            </w:r>
            <w:r>
              <w:rPr>
                <w:rFonts w:hint="eastAsia"/>
                <w:color w:val="auto"/>
                <w:sz w:val="24"/>
              </w:rPr>
              <w:t>储存柜：</w:t>
            </w:r>
          </w:p>
          <w:p>
            <w:pPr>
              <w:ind w:right="-391" w:rightChars="-186"/>
              <w:jc w:val="left"/>
              <w:rPr>
                <w:color w:val="auto"/>
                <w:sz w:val="24"/>
              </w:rPr>
            </w:pPr>
            <w:r>
              <w:rPr>
                <w:color w:val="auto"/>
                <w:sz w:val="24"/>
              </w:rPr>
              <w:t>2.2.1</w:t>
            </w:r>
            <w:r>
              <w:rPr>
                <w:rFonts w:hint="eastAsia"/>
                <w:color w:val="auto"/>
                <w:sz w:val="24"/>
              </w:rPr>
              <w:t>柜内设耐腐蚀全</w:t>
            </w:r>
            <w:r>
              <w:rPr>
                <w:color w:val="auto"/>
                <w:sz w:val="24"/>
              </w:rPr>
              <w:t>PP</w:t>
            </w:r>
            <w:r>
              <w:rPr>
                <w:rFonts w:hint="eastAsia"/>
                <w:color w:val="auto"/>
                <w:sz w:val="24"/>
              </w:rPr>
              <w:t>储存柜，尺寸为</w:t>
            </w:r>
            <w:r>
              <w:rPr>
                <w:color w:val="auto"/>
                <w:sz w:val="24"/>
              </w:rPr>
              <w:t>(</w:t>
            </w:r>
            <w:r>
              <w:rPr>
                <w:rFonts w:hint="eastAsia"/>
                <w:color w:val="auto"/>
                <w:sz w:val="24"/>
              </w:rPr>
              <w:t>长</w:t>
            </w:r>
            <w:r>
              <w:rPr>
                <w:color w:val="auto"/>
                <w:sz w:val="24"/>
              </w:rPr>
              <w:t>x</w:t>
            </w:r>
            <w:r>
              <w:rPr>
                <w:rFonts w:hint="eastAsia"/>
                <w:color w:val="auto"/>
                <w:sz w:val="24"/>
              </w:rPr>
              <w:t>宽</w:t>
            </w:r>
            <w:r>
              <w:rPr>
                <w:color w:val="auto"/>
                <w:sz w:val="24"/>
              </w:rPr>
              <w:t>x</w:t>
            </w:r>
            <w:r>
              <w:rPr>
                <w:rFonts w:hint="eastAsia"/>
                <w:color w:val="auto"/>
                <w:sz w:val="24"/>
              </w:rPr>
              <w:t>高</w:t>
            </w:r>
            <w:r>
              <w:rPr>
                <w:color w:val="auto"/>
                <w:sz w:val="24"/>
              </w:rPr>
              <w:t>)</w:t>
            </w:r>
          </w:p>
          <w:p>
            <w:pPr>
              <w:ind w:right="-391" w:rightChars="-186"/>
              <w:jc w:val="left"/>
              <w:rPr>
                <w:color w:val="auto"/>
                <w:sz w:val="24"/>
              </w:rPr>
            </w:pPr>
            <w:r>
              <w:rPr>
                <w:color w:val="auto"/>
                <w:sz w:val="24"/>
              </w:rPr>
              <w:t>950mm x 450mmx1511mm</w:t>
            </w:r>
            <w:r>
              <w:rPr>
                <w:rFonts w:hint="eastAsia"/>
                <w:color w:val="auto"/>
                <w:sz w:val="24"/>
              </w:rPr>
              <w:t>；</w:t>
            </w:r>
          </w:p>
          <w:p>
            <w:pPr>
              <w:jc w:val="left"/>
              <w:rPr>
                <w:color w:val="auto"/>
                <w:sz w:val="24"/>
              </w:rPr>
            </w:pPr>
            <w:r>
              <w:rPr>
                <w:color w:val="auto"/>
                <w:sz w:val="24"/>
              </w:rPr>
              <w:t>2.2.2 PP</w:t>
            </w:r>
            <w:r>
              <w:rPr>
                <w:rFonts w:hint="eastAsia"/>
                <w:color w:val="auto"/>
                <w:sz w:val="24"/>
              </w:rPr>
              <w:t>储存柜主体材料为白色</w:t>
            </w:r>
            <w:r>
              <w:rPr>
                <w:color w:val="auto"/>
                <w:sz w:val="24"/>
              </w:rPr>
              <w:t>PP</w:t>
            </w:r>
            <w:r>
              <w:rPr>
                <w:rFonts w:hint="eastAsia"/>
                <w:color w:val="auto"/>
                <w:sz w:val="24"/>
              </w:rPr>
              <w:t>防火板折弯或焊接而成，单层承重不低于</w:t>
            </w:r>
            <w:r>
              <w:rPr>
                <w:color w:val="auto"/>
                <w:sz w:val="24"/>
              </w:rPr>
              <w:t>80Kg</w:t>
            </w:r>
            <w:r>
              <w:rPr>
                <w:rFonts w:hint="eastAsia"/>
                <w:color w:val="auto"/>
                <w:sz w:val="24"/>
              </w:rPr>
              <w:t>；</w:t>
            </w:r>
          </w:p>
          <w:p>
            <w:pPr>
              <w:jc w:val="left"/>
              <w:rPr>
                <w:color w:val="auto"/>
                <w:sz w:val="24"/>
              </w:rPr>
            </w:pPr>
            <w:r>
              <w:rPr>
                <w:color w:val="auto"/>
                <w:sz w:val="24"/>
              </w:rPr>
              <w:t>2.2.3</w:t>
            </w:r>
            <w:r>
              <w:rPr>
                <w:rFonts w:hint="eastAsia"/>
                <w:color w:val="auto"/>
                <w:sz w:val="24"/>
              </w:rPr>
              <w:t>柜顶部设有排风口，柜体底部设有进风口；</w:t>
            </w:r>
          </w:p>
          <w:p>
            <w:pPr>
              <w:jc w:val="left"/>
              <w:rPr>
                <w:color w:val="auto"/>
                <w:sz w:val="24"/>
              </w:rPr>
            </w:pPr>
            <w:r>
              <w:rPr>
                <w:color w:val="auto"/>
                <w:sz w:val="24"/>
              </w:rPr>
              <w:t>2.2.4 PP</w:t>
            </w:r>
            <w:r>
              <w:rPr>
                <w:rFonts w:hint="eastAsia"/>
                <w:color w:val="auto"/>
                <w:sz w:val="24"/>
              </w:rPr>
              <w:t>防火板具有负荷变形温度、维卡软化温度检测报告；</w:t>
            </w:r>
          </w:p>
          <w:p>
            <w:pPr>
              <w:jc w:val="left"/>
              <w:rPr>
                <w:color w:val="auto"/>
                <w:sz w:val="24"/>
              </w:rPr>
            </w:pPr>
            <w:r>
              <w:rPr>
                <w:color w:val="auto"/>
                <w:sz w:val="24"/>
              </w:rPr>
              <w:t>2.3</w:t>
            </w:r>
            <w:r>
              <w:rPr>
                <w:rFonts w:hint="eastAsia"/>
                <w:color w:val="auto"/>
                <w:sz w:val="24"/>
              </w:rPr>
              <w:t>防火安全柜（一组）</w:t>
            </w:r>
          </w:p>
          <w:p>
            <w:pPr>
              <w:ind w:right="-250" w:rightChars="-119"/>
              <w:jc w:val="left"/>
              <w:rPr>
                <w:color w:val="auto"/>
                <w:sz w:val="24"/>
              </w:rPr>
            </w:pPr>
            <w:r>
              <w:rPr>
                <w:color w:val="auto"/>
                <w:sz w:val="24"/>
              </w:rPr>
              <w:t>2.3.1</w:t>
            </w:r>
            <w:r>
              <w:rPr>
                <w:rFonts w:hint="eastAsia"/>
                <w:color w:val="auto"/>
                <w:sz w:val="24"/>
              </w:rPr>
              <w:t>柜内设防火安全柜，外尺寸约</w:t>
            </w:r>
          </w:p>
          <w:p>
            <w:pPr>
              <w:ind w:right="-250" w:rightChars="-119"/>
              <w:jc w:val="left"/>
              <w:rPr>
                <w:color w:val="auto"/>
                <w:sz w:val="24"/>
              </w:rPr>
            </w:pPr>
            <w:r>
              <w:rPr>
                <w:color w:val="auto"/>
                <w:sz w:val="24"/>
              </w:rPr>
              <w:t>(</w:t>
            </w:r>
            <w:r>
              <w:rPr>
                <w:rFonts w:hint="eastAsia"/>
                <w:color w:val="auto"/>
                <w:sz w:val="24"/>
              </w:rPr>
              <w:t>长</w:t>
            </w:r>
            <w:r>
              <w:rPr>
                <w:color w:val="auto"/>
                <w:sz w:val="24"/>
              </w:rPr>
              <w:t>x</w:t>
            </w:r>
            <w:r>
              <w:rPr>
                <w:rFonts w:hint="eastAsia"/>
                <w:color w:val="auto"/>
                <w:sz w:val="24"/>
              </w:rPr>
              <w:t>宽</w:t>
            </w:r>
            <w:r>
              <w:rPr>
                <w:color w:val="auto"/>
                <w:sz w:val="24"/>
              </w:rPr>
              <w:t>x</w:t>
            </w:r>
            <w:r>
              <w:rPr>
                <w:rFonts w:hint="eastAsia"/>
                <w:color w:val="auto"/>
                <w:sz w:val="24"/>
              </w:rPr>
              <w:t>高</w:t>
            </w:r>
            <w:r>
              <w:rPr>
                <w:color w:val="auto"/>
                <w:sz w:val="24"/>
              </w:rPr>
              <w:t>) 1092mm x457mmx1651mm</w:t>
            </w:r>
            <w:r>
              <w:rPr>
                <w:rFonts w:hint="eastAsia"/>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38" w:hRule="atLeast"/>
          <w:tblHeader/>
        </w:trPr>
        <w:tc>
          <w:tcPr>
            <w:tcW w:w="698" w:type="dxa"/>
            <w:vMerge w:val="restart"/>
            <w:shd w:val="clear" w:color="auto" w:fill="B8CCE4"/>
            <w:vAlign w:val="center"/>
          </w:tcPr>
          <w:p>
            <w:pPr>
              <w:pStyle w:val="129"/>
              <w:numPr>
                <w:ilvl w:val="0"/>
                <w:numId w:val="63"/>
              </w:numPr>
              <w:spacing w:line="360" w:lineRule="auto"/>
              <w:ind w:firstLineChars="0"/>
              <w:jc w:val="center"/>
              <w:rPr>
                <w:color w:val="auto"/>
              </w:rPr>
            </w:pPr>
          </w:p>
        </w:tc>
        <w:tc>
          <w:tcPr>
            <w:tcW w:w="1377" w:type="dxa"/>
            <w:vMerge w:val="restart"/>
            <w:vAlign w:val="center"/>
          </w:tcPr>
          <w:p>
            <w:pPr>
              <w:spacing w:line="360" w:lineRule="auto"/>
              <w:jc w:val="center"/>
              <w:rPr>
                <w:b/>
                <w:color w:val="auto"/>
                <w:sz w:val="24"/>
              </w:rPr>
            </w:pPr>
            <w:r>
              <w:rPr>
                <w:rFonts w:hint="eastAsia"/>
                <w:b/>
                <w:color w:val="auto"/>
                <w:sz w:val="24"/>
              </w:rPr>
              <w:t>智能控制系统</w:t>
            </w:r>
          </w:p>
        </w:tc>
        <w:tc>
          <w:tcPr>
            <w:tcW w:w="7905" w:type="dxa"/>
            <w:vAlign w:val="center"/>
          </w:tcPr>
          <w:p>
            <w:pPr>
              <w:widowControl/>
              <w:jc w:val="left"/>
              <w:rPr>
                <w:color w:val="auto"/>
                <w:sz w:val="24"/>
              </w:rPr>
            </w:pPr>
            <w:r>
              <w:rPr>
                <w:rFonts w:hint="eastAsia"/>
                <w:color w:val="auto"/>
                <w:sz w:val="24"/>
              </w:rPr>
              <w:t>★</w:t>
            </w:r>
            <w:r>
              <w:rPr>
                <w:color w:val="auto"/>
                <w:sz w:val="24"/>
              </w:rPr>
              <w:t>3.1</w:t>
            </w:r>
            <w:r>
              <w:rPr>
                <w:rFonts w:hint="eastAsia"/>
                <w:color w:val="auto"/>
                <w:sz w:val="24"/>
              </w:rPr>
              <w:t>控制系统采用可编程逻辑控制器</w:t>
            </w:r>
            <w:r>
              <w:rPr>
                <w:color w:val="auto"/>
                <w:sz w:val="24"/>
              </w:rPr>
              <w:t>(PLC)+≥10</w:t>
            </w:r>
            <w:r>
              <w:rPr>
                <w:rFonts w:hint="eastAsia"/>
                <w:color w:val="auto"/>
                <w:sz w:val="24"/>
              </w:rPr>
              <w:t>寸人机界面触摸屏</w:t>
            </w:r>
            <w:r>
              <w:rPr>
                <w:color w:val="auto"/>
                <w:sz w:val="24"/>
              </w:rPr>
              <w:t>+</w:t>
            </w:r>
            <w:r>
              <w:rPr>
                <w:rFonts w:hint="eastAsia"/>
                <w:color w:val="auto"/>
                <w:sz w:val="24"/>
              </w:rPr>
              <w:t>远程监控及操控</w:t>
            </w:r>
            <w:r>
              <w:rPr>
                <w:color w:val="auto"/>
                <w:sz w:val="24"/>
              </w:rPr>
              <w:t>+</w:t>
            </w:r>
            <w:r>
              <w:rPr>
                <w:rFonts w:hint="eastAsia"/>
                <w:color w:val="auto"/>
                <w:sz w:val="24"/>
              </w:rPr>
              <w:t>软件管理系统系统完成电气和仪表部分的自动控制与监控管理；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2"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b/>
                <w:color w:val="auto"/>
                <w:sz w:val="24"/>
              </w:rPr>
            </w:pPr>
          </w:p>
        </w:tc>
        <w:tc>
          <w:tcPr>
            <w:tcW w:w="7905" w:type="dxa"/>
            <w:vAlign w:val="center"/>
          </w:tcPr>
          <w:p>
            <w:pPr>
              <w:widowControl/>
              <w:jc w:val="left"/>
              <w:rPr>
                <w:color w:val="auto"/>
                <w:sz w:val="24"/>
              </w:rPr>
            </w:pPr>
            <w:r>
              <w:rPr>
                <w:rFonts w:hint="eastAsia"/>
                <w:color w:val="auto"/>
                <w:sz w:val="24"/>
              </w:rPr>
              <w:t>★</w:t>
            </w:r>
            <w:r>
              <w:rPr>
                <w:color w:val="auto"/>
                <w:sz w:val="24"/>
              </w:rPr>
              <w:t>3</w:t>
            </w:r>
            <w:r>
              <w:rPr>
                <w:rFonts w:ascii="宋体"/>
                <w:color w:val="auto"/>
                <w:sz w:val="24"/>
              </w:rPr>
              <w:t>.</w:t>
            </w:r>
            <w:r>
              <w:rPr>
                <w:rFonts w:cs="Calibri"/>
                <w:color w:val="auto"/>
                <w:sz w:val="24"/>
              </w:rPr>
              <w:t>2</w:t>
            </w:r>
            <w:r>
              <w:rPr>
                <w:rFonts w:hint="eastAsia" w:ascii="宋体" w:hAnsi="宋体"/>
                <w:color w:val="auto"/>
                <w:sz w:val="24"/>
              </w:rPr>
              <w:t>智能控制系统具有云端后台管理功能，随时监测、控制实验室废弃物暂存柜的废气处理、喷淋降温、照明、预警报警、温度控制等功能。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5"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b/>
                <w:color w:val="auto"/>
                <w:sz w:val="24"/>
              </w:rPr>
            </w:pPr>
          </w:p>
        </w:tc>
        <w:tc>
          <w:tcPr>
            <w:tcW w:w="7905" w:type="dxa"/>
            <w:vAlign w:val="center"/>
          </w:tcPr>
          <w:p>
            <w:pPr>
              <w:jc w:val="left"/>
              <w:rPr>
                <w:color w:val="auto"/>
                <w:sz w:val="24"/>
              </w:rPr>
            </w:pPr>
            <w:r>
              <w:rPr>
                <w:color w:val="auto"/>
                <w:sz w:val="24"/>
              </w:rPr>
              <w:t>3.3</w:t>
            </w:r>
            <w:r>
              <w:rPr>
                <w:rFonts w:hint="eastAsia"/>
                <w:color w:val="auto"/>
                <w:sz w:val="24"/>
              </w:rPr>
              <w:t>暂存柜系统软件集中控制系统由</w:t>
            </w:r>
            <w:r>
              <w:rPr>
                <w:color w:val="auto"/>
                <w:sz w:val="24"/>
              </w:rPr>
              <w:t>≥10</w:t>
            </w:r>
            <w:r>
              <w:rPr>
                <w:rFonts w:hint="eastAsia"/>
                <w:color w:val="auto"/>
                <w:sz w:val="24"/>
              </w:rPr>
              <w:t>寸人机界面液晶中文显示，可设置进入密码；系统具有人机对话功能，自动实时检测各传感器参数，实时显示室外温度、室内温度、电控柜温度、可燃气体浓度、相对湿度、空调状态、喷淋状态、排风速率、废气系统运行状态、警报状态、门禁照明等各项参数，以上参数均须在人机界面触摸屏上显示，不允许通过分体显示仪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51"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b/>
                <w:color w:val="auto"/>
                <w:sz w:val="24"/>
              </w:rPr>
            </w:pPr>
          </w:p>
        </w:tc>
        <w:tc>
          <w:tcPr>
            <w:tcW w:w="7905" w:type="dxa"/>
            <w:vAlign w:val="center"/>
          </w:tcPr>
          <w:p>
            <w:pPr>
              <w:widowControl/>
              <w:jc w:val="left"/>
              <w:rPr>
                <w:color w:val="auto"/>
                <w:sz w:val="24"/>
              </w:rPr>
            </w:pPr>
            <w:r>
              <w:rPr>
                <w:color w:val="auto"/>
                <w:sz w:val="24"/>
              </w:rPr>
              <w:t>3.4</w:t>
            </w:r>
            <w:r>
              <w:rPr>
                <w:rFonts w:hint="eastAsia"/>
                <w:color w:val="auto"/>
                <w:sz w:val="24"/>
              </w:rPr>
              <w:t>当柜内气体浓度接近安全临界值</w:t>
            </w:r>
            <w:r>
              <w:rPr>
                <w:color w:val="auto"/>
                <w:sz w:val="24"/>
              </w:rPr>
              <w:t>20%-30%</w:t>
            </w:r>
            <w:r>
              <w:rPr>
                <w:rFonts w:hint="eastAsia"/>
                <w:color w:val="auto"/>
                <w:sz w:val="24"/>
              </w:rPr>
              <w:t>时，控制系统将智能执行各类处置措施。当设置的参数接近安全临界值</w:t>
            </w:r>
            <w:r>
              <w:rPr>
                <w:color w:val="auto"/>
                <w:sz w:val="24"/>
              </w:rPr>
              <w:t>10%-20%</w:t>
            </w:r>
            <w:r>
              <w:rPr>
                <w:rFonts w:hint="eastAsia"/>
                <w:color w:val="auto"/>
                <w:sz w:val="24"/>
              </w:rPr>
              <w:t>时或在可能发生危险的情况下控制系统会启动声光报警，报警音在</w:t>
            </w:r>
            <w:r>
              <w:rPr>
                <w:color w:val="auto"/>
                <w:sz w:val="24"/>
              </w:rPr>
              <w:t>85</w:t>
            </w:r>
            <w:r>
              <w:rPr>
                <w:rFonts w:hint="eastAsia"/>
                <w:color w:val="auto"/>
                <w:sz w:val="24"/>
              </w:rPr>
              <w:t>分贝以上，能提供远距离预警，同时通过云控制平台给用户发警示短信或者打警示电话；</w:t>
            </w:r>
          </w:p>
          <w:p>
            <w:pPr>
              <w:jc w:val="left"/>
              <w:rPr>
                <w:color w:val="auto"/>
                <w:sz w:val="24"/>
              </w:rPr>
            </w:pPr>
            <w:r>
              <w:rPr>
                <w:rFonts w:hint="eastAsia"/>
                <w:color w:val="auto"/>
                <w:sz w:val="24"/>
              </w:rPr>
              <w:t>当柜内温度当室温度超过或低于设定的安全温度值（</w:t>
            </w:r>
            <w:r>
              <w:rPr>
                <w:color w:val="auto"/>
                <w:sz w:val="24"/>
              </w:rPr>
              <w:t>3-28</w:t>
            </w:r>
            <w:r>
              <w:rPr>
                <w:rFonts w:hint="eastAsia"/>
                <w:color w:val="auto"/>
                <w:sz w:val="24"/>
              </w:rPr>
              <w:t>℃）时防爆空调将自动开启，超过</w:t>
            </w:r>
            <w:r>
              <w:rPr>
                <w:color w:val="auto"/>
                <w:sz w:val="24"/>
              </w:rPr>
              <w:t>28</w:t>
            </w:r>
            <w:r>
              <w:rPr>
                <w:rFonts w:hint="eastAsia"/>
                <w:color w:val="auto"/>
                <w:sz w:val="24"/>
              </w:rPr>
              <w:t>℃时，系统将自动启动声光报警灯，同时通过云控制平台给用户发警示短信或者打警示电话；用户可选择手动开启喷淋降温系统；若遇极端状态下（温度超过</w:t>
            </w:r>
            <w:r>
              <w:rPr>
                <w:color w:val="auto"/>
                <w:sz w:val="24"/>
              </w:rPr>
              <w:t>58</w:t>
            </w:r>
            <w:r>
              <w:rPr>
                <w:rFonts w:hint="eastAsia"/>
                <w:color w:val="auto"/>
                <w:sz w:val="24"/>
              </w:rPr>
              <w:t>℃）时，系统将自动开启喷淋降温系统。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b/>
                <w:color w:val="auto"/>
                <w:sz w:val="24"/>
              </w:rPr>
            </w:pPr>
          </w:p>
        </w:tc>
        <w:tc>
          <w:tcPr>
            <w:tcW w:w="7905" w:type="dxa"/>
            <w:vAlign w:val="center"/>
          </w:tcPr>
          <w:p>
            <w:pPr>
              <w:widowControl/>
              <w:jc w:val="left"/>
              <w:rPr>
                <w:color w:val="auto"/>
                <w:sz w:val="24"/>
              </w:rPr>
            </w:pPr>
            <w:r>
              <w:rPr>
                <w:color w:val="auto"/>
                <w:sz w:val="24"/>
              </w:rPr>
              <w:t>3.5</w:t>
            </w:r>
            <w:r>
              <w:rPr>
                <w:rFonts w:hint="eastAsia"/>
                <w:color w:val="auto"/>
                <w:sz w:val="24"/>
              </w:rPr>
              <w:t>控制系统在应急情况下可使用实体键进入应急模式，控制照明、排风、废气净化、喷淋、空调等基本功能；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9"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b/>
                <w:color w:val="auto"/>
                <w:sz w:val="24"/>
              </w:rPr>
            </w:pPr>
          </w:p>
        </w:tc>
        <w:tc>
          <w:tcPr>
            <w:tcW w:w="7905" w:type="dxa"/>
            <w:vAlign w:val="center"/>
          </w:tcPr>
          <w:p>
            <w:pPr>
              <w:widowControl/>
              <w:jc w:val="left"/>
              <w:rPr>
                <w:b/>
                <w:color w:val="auto"/>
                <w:sz w:val="24"/>
              </w:rPr>
            </w:pPr>
            <w:r>
              <w:rPr>
                <w:color w:val="auto"/>
                <w:sz w:val="24"/>
              </w:rPr>
              <w:t>3.6</w:t>
            </w:r>
            <w:r>
              <w:rPr>
                <w:rFonts w:hint="eastAsia"/>
                <w:color w:val="auto"/>
                <w:sz w:val="24"/>
              </w:rPr>
              <w:t>智能控制系统具有云端后台管理功能，可连接至我公司云端后台管理系统后，客户和我公司售后服务人员均可通过云端后台管理系统随时监测、控制暂存柜系统的废气处理、喷淋降温、照明、预警报警、温度控制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b/>
                <w:color w:val="auto"/>
                <w:sz w:val="24"/>
              </w:rPr>
            </w:pPr>
          </w:p>
        </w:tc>
        <w:tc>
          <w:tcPr>
            <w:tcW w:w="7905" w:type="dxa"/>
            <w:vAlign w:val="center"/>
          </w:tcPr>
          <w:p>
            <w:pPr>
              <w:widowControl/>
              <w:jc w:val="left"/>
              <w:rPr>
                <w:color w:val="auto"/>
                <w:sz w:val="24"/>
              </w:rPr>
            </w:pPr>
            <w:r>
              <w:rPr>
                <w:color w:val="auto"/>
                <w:sz w:val="24"/>
              </w:rPr>
              <w:t>3.7</w:t>
            </w:r>
            <w:r>
              <w:rPr>
                <w:rFonts w:hint="eastAsia"/>
                <w:color w:val="auto"/>
                <w:sz w:val="24"/>
              </w:rPr>
              <w:t>暂存柜出入门采用危化品管控智能安全锁，采用</w:t>
            </w:r>
            <w:r>
              <w:rPr>
                <w:color w:val="auto"/>
                <w:sz w:val="24"/>
              </w:rPr>
              <w:t>RFID</w:t>
            </w:r>
            <w:r>
              <w:rPr>
                <w:rFonts w:hint="eastAsia"/>
                <w:color w:val="auto"/>
                <w:sz w:val="24"/>
              </w:rPr>
              <w:t>智能卡技术，具有生物活体指纹开锁、密码开锁、应急钥匙等功能；智能安全锁外尺寸：宽</w:t>
            </w:r>
            <w:r>
              <w:rPr>
                <w:color w:val="auto"/>
                <w:sz w:val="24"/>
              </w:rPr>
              <w:t xml:space="preserve">75mmX </w:t>
            </w:r>
            <w:r>
              <w:rPr>
                <w:rFonts w:hint="eastAsia"/>
                <w:color w:val="auto"/>
                <w:sz w:val="24"/>
              </w:rPr>
              <w:t>高</w:t>
            </w:r>
            <w:r>
              <w:rPr>
                <w:color w:val="auto"/>
                <w:sz w:val="24"/>
              </w:rPr>
              <w:t>350mm</w:t>
            </w:r>
            <w:r>
              <w:rPr>
                <w:rFonts w:hint="eastAsia"/>
                <w:color w:val="auto"/>
                <w:sz w:val="24"/>
              </w:rPr>
              <w:t>，操作区尺寸：宽</w:t>
            </w:r>
            <w:r>
              <w:rPr>
                <w:color w:val="auto"/>
                <w:sz w:val="24"/>
              </w:rPr>
              <w:t xml:space="preserve">75mmX </w:t>
            </w:r>
            <w:r>
              <w:rPr>
                <w:rFonts w:hint="eastAsia"/>
                <w:color w:val="auto"/>
                <w:sz w:val="24"/>
              </w:rPr>
              <w:t>高</w:t>
            </w:r>
            <w:r>
              <w:rPr>
                <w:color w:val="auto"/>
                <w:sz w:val="24"/>
              </w:rPr>
              <w:t>135mm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b/>
                <w:color w:val="auto"/>
                <w:sz w:val="24"/>
              </w:rPr>
            </w:pPr>
          </w:p>
        </w:tc>
        <w:tc>
          <w:tcPr>
            <w:tcW w:w="7905" w:type="dxa"/>
            <w:vAlign w:val="center"/>
          </w:tcPr>
          <w:p>
            <w:pPr>
              <w:adjustRightInd w:val="0"/>
              <w:textAlignment w:val="baseline"/>
              <w:rPr>
                <w:color w:val="auto"/>
                <w:sz w:val="24"/>
              </w:rPr>
            </w:pPr>
            <w:r>
              <w:rPr>
                <w:color w:val="auto"/>
                <w:sz w:val="24"/>
              </w:rPr>
              <w:t>3.8</w:t>
            </w:r>
            <w:r>
              <w:rPr>
                <w:rFonts w:hint="eastAsia"/>
                <w:color w:val="auto"/>
                <w:sz w:val="24"/>
              </w:rPr>
              <w:t>正面强电箱、弱电箱、个人防护箱、清洁用品箱安装具有密码开锁和刷卡开锁功能的功能锁；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b/>
                <w:color w:val="auto"/>
                <w:sz w:val="24"/>
              </w:rPr>
            </w:pPr>
          </w:p>
        </w:tc>
        <w:tc>
          <w:tcPr>
            <w:tcW w:w="7905" w:type="dxa"/>
            <w:vAlign w:val="center"/>
          </w:tcPr>
          <w:p>
            <w:pPr>
              <w:widowControl/>
              <w:jc w:val="left"/>
              <w:rPr>
                <w:rFonts w:ascii="宋体" w:cs="宋体"/>
                <w:b/>
                <w:bCs/>
                <w:color w:val="auto"/>
                <w:sz w:val="24"/>
                <w:shd w:val="clear" w:color="auto" w:fill="FFFFFF"/>
              </w:rPr>
            </w:pPr>
            <w:r>
              <w:rPr>
                <w:rFonts w:hint="eastAsia"/>
                <w:color w:val="auto"/>
                <w:sz w:val="24"/>
              </w:rPr>
              <w:t>具备实验室废弃物暂存柜管理系统软件著作权等级证书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5" w:hRule="atLeast"/>
          <w:tblHeader/>
        </w:trPr>
        <w:tc>
          <w:tcPr>
            <w:tcW w:w="698" w:type="dxa"/>
            <w:vMerge w:val="restart"/>
            <w:shd w:val="clear" w:color="auto" w:fill="B8CCE4"/>
            <w:vAlign w:val="center"/>
          </w:tcPr>
          <w:p>
            <w:pPr>
              <w:pStyle w:val="129"/>
              <w:numPr>
                <w:ilvl w:val="0"/>
                <w:numId w:val="63"/>
              </w:numPr>
              <w:spacing w:line="360" w:lineRule="auto"/>
              <w:ind w:firstLineChars="0"/>
              <w:jc w:val="center"/>
              <w:rPr>
                <w:color w:val="auto"/>
              </w:rPr>
            </w:pPr>
          </w:p>
        </w:tc>
        <w:tc>
          <w:tcPr>
            <w:tcW w:w="1377" w:type="dxa"/>
            <w:vMerge w:val="restart"/>
            <w:vAlign w:val="center"/>
          </w:tcPr>
          <w:p>
            <w:pPr>
              <w:spacing w:line="360" w:lineRule="auto"/>
              <w:jc w:val="center"/>
              <w:rPr>
                <w:b/>
                <w:color w:val="auto"/>
                <w:sz w:val="24"/>
              </w:rPr>
            </w:pPr>
            <w:r>
              <w:rPr>
                <w:rFonts w:hint="eastAsia"/>
                <w:b/>
                <w:color w:val="auto"/>
                <w:sz w:val="24"/>
              </w:rPr>
              <w:t>通风排气系统</w:t>
            </w:r>
          </w:p>
        </w:tc>
        <w:tc>
          <w:tcPr>
            <w:tcW w:w="7905" w:type="dxa"/>
            <w:vAlign w:val="center"/>
          </w:tcPr>
          <w:p>
            <w:pPr>
              <w:rPr>
                <w:rFonts w:ascii="宋体"/>
                <w:color w:val="auto"/>
                <w:sz w:val="24"/>
              </w:rPr>
            </w:pPr>
            <w:r>
              <w:rPr>
                <w:color w:val="auto"/>
                <w:sz w:val="24"/>
              </w:rPr>
              <w:t>4.1</w:t>
            </w:r>
            <w:r>
              <w:rPr>
                <w:rFonts w:hint="eastAsia" w:ascii="宋体" w:hAnsi="宋体"/>
                <w:color w:val="auto"/>
                <w:sz w:val="24"/>
              </w:rPr>
              <w:t>柜内顶部安装通风管，管路上采用防火止回阀，柜内设置通风百叶窗，百叶窗内部设有防虫鼠网，通风口具高温自闭装置，通风装置的材料为不可燃或阻燃材质。</w:t>
            </w:r>
          </w:p>
          <w:p>
            <w:pPr>
              <w:rPr>
                <w:color w:val="auto"/>
                <w:sz w:val="24"/>
              </w:rPr>
            </w:pPr>
            <w:r>
              <w:rPr>
                <w:color w:val="auto"/>
                <w:sz w:val="24"/>
              </w:rPr>
              <w:t>4.2</w:t>
            </w:r>
            <w:r>
              <w:rPr>
                <w:rFonts w:hint="eastAsia"/>
                <w:color w:val="auto"/>
                <w:sz w:val="24"/>
              </w:rPr>
              <w:t>柜体两侧共设置</w:t>
            </w:r>
            <w:r>
              <w:rPr>
                <w:color w:val="auto"/>
                <w:sz w:val="24"/>
              </w:rPr>
              <w:t>6</w:t>
            </w:r>
            <w:r>
              <w:rPr>
                <w:rFonts w:hint="eastAsia"/>
                <w:color w:val="auto"/>
                <w:sz w:val="24"/>
              </w:rPr>
              <w:t>个通风百叶窗，每个百叶窗均可从柜体外部拆卸用于清洗空气净化装置，内部设有防虫鼠、防沙尘网，通风口具高温自闭装置，通风装置的材料为不可燃或阻燃材质。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b/>
                <w:color w:val="auto"/>
                <w:sz w:val="24"/>
              </w:rPr>
            </w:pPr>
          </w:p>
        </w:tc>
        <w:tc>
          <w:tcPr>
            <w:tcW w:w="7905" w:type="dxa"/>
            <w:vAlign w:val="center"/>
          </w:tcPr>
          <w:p>
            <w:pPr>
              <w:jc w:val="left"/>
              <w:rPr>
                <w:color w:val="auto"/>
                <w:sz w:val="24"/>
              </w:rPr>
            </w:pPr>
            <w:r>
              <w:rPr>
                <w:color w:val="auto"/>
                <w:sz w:val="24"/>
              </w:rPr>
              <w:t>4.2</w:t>
            </w:r>
            <w:r>
              <w:rPr>
                <w:rFonts w:hint="eastAsia"/>
                <w:color w:val="auto"/>
                <w:sz w:val="24"/>
              </w:rPr>
              <w:t>顶部设置</w:t>
            </w:r>
            <w:r>
              <w:rPr>
                <w:color w:val="auto"/>
                <w:sz w:val="24"/>
              </w:rPr>
              <w:t>3</w:t>
            </w:r>
            <w:r>
              <w:rPr>
                <w:rFonts w:hint="eastAsia"/>
                <w:color w:val="auto"/>
                <w:sz w:val="24"/>
              </w:rPr>
              <w:t>个无动力风机，用于自动微排风。在停电环境下可保持通风；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2"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b/>
                <w:color w:val="auto"/>
                <w:sz w:val="24"/>
              </w:rPr>
            </w:pPr>
          </w:p>
        </w:tc>
        <w:tc>
          <w:tcPr>
            <w:tcW w:w="7905" w:type="dxa"/>
            <w:vAlign w:val="center"/>
          </w:tcPr>
          <w:p>
            <w:pPr>
              <w:jc w:val="left"/>
              <w:rPr>
                <w:color w:val="auto"/>
                <w:sz w:val="24"/>
              </w:rPr>
            </w:pPr>
            <w:r>
              <w:rPr>
                <w:color w:val="auto"/>
                <w:sz w:val="24"/>
              </w:rPr>
              <w:t>4.3</w:t>
            </w:r>
            <w:r>
              <w:rPr>
                <w:rFonts w:hint="eastAsia"/>
                <w:color w:val="auto"/>
                <w:sz w:val="24"/>
              </w:rPr>
              <w:t>配置强制排风系统，强制排风系统使用防腐离心风机，使用环境温度：</w:t>
            </w:r>
            <w:r>
              <w:rPr>
                <w:color w:val="auto"/>
                <w:sz w:val="24"/>
              </w:rPr>
              <w:t>-15</w:t>
            </w:r>
            <w:r>
              <w:rPr>
                <w:rFonts w:hint="eastAsia"/>
                <w:color w:val="auto"/>
                <w:sz w:val="24"/>
              </w:rPr>
              <w:t>℃</w:t>
            </w:r>
            <w:r>
              <w:rPr>
                <w:color w:val="auto"/>
                <w:sz w:val="24"/>
              </w:rPr>
              <w:t>——45</w:t>
            </w:r>
            <w:r>
              <w:rPr>
                <w:rFonts w:hint="eastAsia"/>
                <w:color w:val="auto"/>
                <w:sz w:val="24"/>
              </w:rPr>
              <w:t>℃，机壳采用优质</w:t>
            </w:r>
            <w:r>
              <w:rPr>
                <w:color w:val="auto"/>
                <w:sz w:val="24"/>
              </w:rPr>
              <w:t>PP</w:t>
            </w:r>
            <w:r>
              <w:rPr>
                <w:rFonts w:hint="eastAsia"/>
                <w:color w:val="auto"/>
                <w:sz w:val="24"/>
              </w:rPr>
              <w:t>板材制作，电机功率</w:t>
            </w:r>
            <w:r>
              <w:rPr>
                <w:color w:val="auto"/>
                <w:sz w:val="24"/>
              </w:rPr>
              <w:t>2.2KW</w:t>
            </w:r>
            <w:r>
              <w:rPr>
                <w:rFonts w:hint="eastAsia"/>
                <w:color w:val="auto"/>
                <w:sz w:val="24"/>
              </w:rPr>
              <w:t>，噪音≤</w:t>
            </w:r>
            <w:r>
              <w:rPr>
                <w:color w:val="auto"/>
                <w:sz w:val="24"/>
              </w:rPr>
              <w:t>85dB</w:t>
            </w:r>
            <w:r>
              <w:rPr>
                <w:rFonts w:hint="eastAsia"/>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b/>
                <w:color w:val="auto"/>
                <w:sz w:val="24"/>
              </w:rPr>
            </w:pPr>
          </w:p>
        </w:tc>
        <w:tc>
          <w:tcPr>
            <w:tcW w:w="7905" w:type="dxa"/>
            <w:vAlign w:val="center"/>
          </w:tcPr>
          <w:p>
            <w:pPr>
              <w:jc w:val="left"/>
              <w:rPr>
                <w:color w:val="auto"/>
                <w:sz w:val="24"/>
              </w:rPr>
            </w:pPr>
            <w:r>
              <w:rPr>
                <w:color w:val="auto"/>
                <w:sz w:val="24"/>
              </w:rPr>
              <w:t>4.4</w:t>
            </w:r>
            <w:r>
              <w:rPr>
                <w:rFonts w:hint="eastAsia"/>
                <w:color w:val="auto"/>
                <w:sz w:val="24"/>
              </w:rPr>
              <w:t>当柜内浓度高于</w:t>
            </w:r>
            <w:r>
              <w:rPr>
                <w:color w:val="auto"/>
                <w:sz w:val="24"/>
              </w:rPr>
              <w:t>15ppm</w:t>
            </w:r>
            <w:r>
              <w:rPr>
                <w:rFonts w:hint="eastAsia"/>
                <w:color w:val="auto"/>
                <w:sz w:val="24"/>
              </w:rPr>
              <w:t>时，智能安全系统将自动启动强制排风系统。当柜内浓度高于</w:t>
            </w:r>
            <w:r>
              <w:rPr>
                <w:color w:val="auto"/>
                <w:sz w:val="24"/>
              </w:rPr>
              <w:t>18ppm</w:t>
            </w:r>
            <w:r>
              <w:rPr>
                <w:rFonts w:hint="eastAsia"/>
                <w:color w:val="auto"/>
                <w:sz w:val="24"/>
              </w:rPr>
              <w:t>时，智能安全系统将启动声光报警灯，同时通过云控制平台给用户发警示短信或者打警示电话；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b/>
                <w:color w:val="auto"/>
                <w:sz w:val="24"/>
              </w:rPr>
            </w:pPr>
          </w:p>
        </w:tc>
        <w:tc>
          <w:tcPr>
            <w:tcW w:w="7905" w:type="dxa"/>
            <w:vAlign w:val="center"/>
          </w:tcPr>
          <w:p>
            <w:pPr>
              <w:jc w:val="left"/>
              <w:rPr>
                <w:color w:val="auto"/>
                <w:sz w:val="24"/>
              </w:rPr>
            </w:pPr>
            <w:r>
              <w:rPr>
                <w:color w:val="auto"/>
                <w:sz w:val="24"/>
              </w:rPr>
              <w:t>4.5</w:t>
            </w:r>
            <w:r>
              <w:rPr>
                <w:rFonts w:hint="eastAsia"/>
                <w:color w:val="auto"/>
                <w:sz w:val="24"/>
              </w:rPr>
              <w:t>柜内顶部安装通风管，管路上采用防火止回阀。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1" w:hRule="atLeast"/>
          <w:tblHeader/>
        </w:trPr>
        <w:tc>
          <w:tcPr>
            <w:tcW w:w="698" w:type="dxa"/>
            <w:vMerge w:val="restart"/>
            <w:shd w:val="clear" w:color="auto" w:fill="B8CCE4"/>
            <w:vAlign w:val="center"/>
          </w:tcPr>
          <w:p>
            <w:pPr>
              <w:pStyle w:val="129"/>
              <w:numPr>
                <w:ilvl w:val="0"/>
                <w:numId w:val="63"/>
              </w:numPr>
              <w:spacing w:line="360" w:lineRule="auto"/>
              <w:ind w:firstLineChars="0"/>
              <w:jc w:val="center"/>
              <w:rPr>
                <w:color w:val="auto"/>
              </w:rPr>
            </w:pPr>
          </w:p>
        </w:tc>
        <w:tc>
          <w:tcPr>
            <w:tcW w:w="1377" w:type="dxa"/>
            <w:vMerge w:val="restart"/>
            <w:vAlign w:val="center"/>
          </w:tcPr>
          <w:p>
            <w:pPr>
              <w:spacing w:line="360" w:lineRule="auto"/>
              <w:jc w:val="center"/>
              <w:rPr>
                <w:b/>
                <w:color w:val="auto"/>
                <w:sz w:val="24"/>
              </w:rPr>
            </w:pPr>
            <w:r>
              <w:rPr>
                <w:rFonts w:hint="eastAsia"/>
                <w:b/>
                <w:color w:val="auto"/>
                <w:sz w:val="24"/>
              </w:rPr>
              <w:t>废气净化系统</w:t>
            </w:r>
          </w:p>
        </w:tc>
        <w:tc>
          <w:tcPr>
            <w:tcW w:w="7905" w:type="dxa"/>
            <w:vAlign w:val="center"/>
          </w:tcPr>
          <w:p>
            <w:pPr>
              <w:adjustRightInd w:val="0"/>
              <w:snapToGrid w:val="0"/>
              <w:jc w:val="left"/>
              <w:rPr>
                <w:rFonts w:ascii="黑体" w:eastAsia="黑体"/>
                <w:color w:val="auto"/>
                <w:sz w:val="24"/>
              </w:rPr>
            </w:pPr>
            <w:r>
              <w:rPr>
                <w:color w:val="auto"/>
                <w:sz w:val="24"/>
              </w:rPr>
              <w:t>5.1</w:t>
            </w:r>
            <w:r>
              <w:rPr>
                <w:rFonts w:hint="eastAsia"/>
                <w:color w:val="auto"/>
                <w:sz w:val="24"/>
              </w:rPr>
              <w:t>废气处理系统安装于柜体外箱顶部，与内箱空间完全隔离，净化系统采用光催化氧化技术及复合式吸附模块三级结合处理，更加有效地处理可挥发酸性废气、碱性废气以及有机有毒废气，净化效率≥</w:t>
            </w:r>
            <w:r>
              <w:rPr>
                <w:color w:val="auto"/>
                <w:sz w:val="24"/>
              </w:rPr>
              <w:t>98%</w:t>
            </w:r>
            <w:r>
              <w:rPr>
                <w:rFonts w:hint="eastAsia"/>
                <w:color w:val="auto"/>
                <w:sz w:val="24"/>
              </w:rPr>
              <w:t>，无需换耗材，废气净化可长久使用。总处理能力大于</w:t>
            </w:r>
            <w:r>
              <w:rPr>
                <w:color w:val="auto"/>
                <w:sz w:val="24"/>
              </w:rPr>
              <w:t>3000m</w:t>
            </w:r>
            <w:r>
              <w:rPr>
                <w:rFonts w:hint="eastAsia"/>
                <w:color w:val="auto"/>
                <w:sz w:val="24"/>
              </w:rPr>
              <w:t>³</w:t>
            </w:r>
            <w:r>
              <w:rPr>
                <w:color w:val="auto"/>
                <w:sz w:val="24"/>
              </w:rPr>
              <w:t>/h</w:t>
            </w:r>
            <w:r>
              <w:rPr>
                <w:rFonts w:hint="eastAsia"/>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16"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b/>
                <w:color w:val="auto"/>
                <w:sz w:val="24"/>
              </w:rPr>
            </w:pPr>
          </w:p>
        </w:tc>
        <w:tc>
          <w:tcPr>
            <w:tcW w:w="7905" w:type="dxa"/>
            <w:vAlign w:val="center"/>
          </w:tcPr>
          <w:p>
            <w:pPr>
              <w:rPr>
                <w:rFonts w:ascii="宋体" w:hAnsi="宋体"/>
                <w:color w:val="auto"/>
                <w:sz w:val="24"/>
              </w:rPr>
            </w:pPr>
            <w:r>
              <w:rPr>
                <w:color w:val="auto"/>
                <w:sz w:val="24"/>
              </w:rPr>
              <w:t>5.3</w:t>
            </w:r>
            <w:r>
              <w:rPr>
                <w:rFonts w:hint="eastAsia" w:ascii="宋体" w:hAnsi="宋体"/>
                <w:color w:val="auto"/>
                <w:sz w:val="24"/>
              </w:rPr>
              <w:t>当柜内浓度高于</w:t>
            </w:r>
            <w:r>
              <w:rPr>
                <w:rFonts w:ascii="宋体" w:hAnsi="宋体"/>
                <w:color w:val="auto"/>
                <w:sz w:val="24"/>
              </w:rPr>
              <w:t>15ppm</w:t>
            </w:r>
            <w:r>
              <w:rPr>
                <w:rFonts w:hint="eastAsia" w:ascii="宋体" w:hAnsi="宋体"/>
                <w:color w:val="auto"/>
                <w:sz w:val="24"/>
              </w:rPr>
              <w:t>时，智能安全系统将自动启动废气处理系统，废气净化系统开启后废气排放符合《</w:t>
            </w:r>
            <w:r>
              <w:rPr>
                <w:rFonts w:ascii="宋体" w:hAnsi="宋体"/>
                <w:color w:val="auto"/>
                <w:sz w:val="24"/>
              </w:rPr>
              <w:t>GB16297</w:t>
            </w:r>
            <w:r>
              <w:rPr>
                <w:rFonts w:hint="eastAsia" w:ascii="宋体" w:hAnsi="宋体"/>
                <w:color w:val="auto"/>
                <w:sz w:val="24"/>
              </w:rPr>
              <w:t>大气污染物综合排放标准》要求的相关排放标准。为确保校园及周边环境不受污染，实验室安全管理设备主要几项总有机挥发物废气经处理后排放浓度值满足以下要求</w:t>
            </w:r>
            <w:r>
              <w:rPr>
                <w:rFonts w:ascii="宋体" w:hAnsi="宋体"/>
                <w:color w:val="auto"/>
                <w:sz w:val="24"/>
              </w:rPr>
              <w:t>:</w:t>
            </w:r>
          </w:p>
          <w:p>
            <w:pPr>
              <w:rPr>
                <w:color w:val="auto"/>
                <w:sz w:val="24"/>
              </w:rPr>
            </w:pPr>
            <w:r>
              <w:rPr>
                <w:rFonts w:hint="eastAsia"/>
                <w:color w:val="auto"/>
                <w:sz w:val="24"/>
              </w:rPr>
              <w:t>苯：≤</w:t>
            </w:r>
            <w:r>
              <w:rPr>
                <w:color w:val="auto"/>
                <w:sz w:val="24"/>
              </w:rPr>
              <w:t>0.02mg/m3</w:t>
            </w:r>
            <w:r>
              <w:rPr>
                <w:rFonts w:hint="eastAsia"/>
                <w:color w:val="auto"/>
                <w:sz w:val="24"/>
              </w:rPr>
              <w:t>、甲苯：≤</w:t>
            </w:r>
            <w:r>
              <w:rPr>
                <w:color w:val="auto"/>
                <w:sz w:val="24"/>
              </w:rPr>
              <w:t>0.02mg/m3</w:t>
            </w:r>
            <w:r>
              <w:rPr>
                <w:rFonts w:hint="eastAsia"/>
                <w:color w:val="auto"/>
                <w:sz w:val="24"/>
              </w:rPr>
              <w:t>、二甲苯：≤</w:t>
            </w:r>
            <w:r>
              <w:rPr>
                <w:color w:val="auto"/>
                <w:sz w:val="24"/>
              </w:rPr>
              <w:t>0.05mg/m3</w:t>
            </w:r>
            <w:r>
              <w:rPr>
                <w:rFonts w:hint="eastAsia"/>
                <w:color w:val="auto"/>
                <w:sz w:val="24"/>
              </w:rPr>
              <w:t>、氨：≤</w:t>
            </w:r>
            <w:r>
              <w:rPr>
                <w:color w:val="auto"/>
                <w:sz w:val="24"/>
              </w:rPr>
              <w:t>0.2mg/m3</w:t>
            </w:r>
          </w:p>
          <w:p>
            <w:pPr>
              <w:rPr>
                <w:rFonts w:ascii="宋体"/>
                <w:color w:val="auto"/>
                <w:sz w:val="24"/>
              </w:rPr>
            </w:pPr>
            <w:r>
              <w:rPr>
                <w:rFonts w:hint="eastAsia"/>
                <w:color w:val="auto"/>
                <w:sz w:val="24"/>
              </w:rPr>
              <w:t>★提供已使用用户（实验室废弃物暂存柜）所产生废气经处理后的第三方检测机构出具的总有机挥发物浓度合格检测报告，检测结果需包含并满足以上四项总有机挥发物的数值（提供复印件，原件备查）</w:t>
            </w:r>
            <w:r>
              <w:rPr>
                <w:rFonts w:hint="eastAsia" w:ascii="宋体" w:hAnsi="宋体"/>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blHeader/>
        </w:trPr>
        <w:tc>
          <w:tcPr>
            <w:tcW w:w="698" w:type="dxa"/>
            <w:vMerge w:val="restart"/>
            <w:shd w:val="clear" w:color="auto" w:fill="B8CCE4"/>
            <w:vAlign w:val="center"/>
          </w:tcPr>
          <w:p>
            <w:pPr>
              <w:pStyle w:val="129"/>
              <w:numPr>
                <w:ilvl w:val="0"/>
                <w:numId w:val="63"/>
              </w:numPr>
              <w:spacing w:line="360" w:lineRule="auto"/>
              <w:ind w:firstLineChars="0"/>
              <w:jc w:val="center"/>
              <w:rPr>
                <w:color w:val="auto"/>
              </w:rPr>
            </w:pPr>
          </w:p>
        </w:tc>
        <w:tc>
          <w:tcPr>
            <w:tcW w:w="1377" w:type="dxa"/>
            <w:vMerge w:val="restart"/>
            <w:vAlign w:val="center"/>
          </w:tcPr>
          <w:p>
            <w:pPr>
              <w:spacing w:line="360" w:lineRule="auto"/>
              <w:jc w:val="center"/>
              <w:rPr>
                <w:b/>
                <w:color w:val="auto"/>
                <w:sz w:val="24"/>
              </w:rPr>
            </w:pPr>
            <w:r>
              <w:rPr>
                <w:rFonts w:hint="eastAsia"/>
                <w:b/>
                <w:color w:val="auto"/>
                <w:sz w:val="24"/>
              </w:rPr>
              <w:t>温度控制系统</w:t>
            </w:r>
          </w:p>
        </w:tc>
        <w:tc>
          <w:tcPr>
            <w:tcW w:w="7905" w:type="dxa"/>
            <w:vAlign w:val="center"/>
          </w:tcPr>
          <w:p>
            <w:pPr>
              <w:rPr>
                <w:color w:val="auto"/>
                <w:sz w:val="24"/>
              </w:rPr>
            </w:pPr>
            <w:r>
              <w:rPr>
                <w:color w:val="auto"/>
                <w:sz w:val="24"/>
              </w:rPr>
              <w:t>6.1</w:t>
            </w:r>
            <w:r>
              <w:rPr>
                <w:rFonts w:hint="eastAsia"/>
                <w:color w:val="auto"/>
                <w:sz w:val="24"/>
              </w:rPr>
              <w:t>柜体内壁设置≥</w:t>
            </w:r>
            <w:r>
              <w:rPr>
                <w:color w:val="auto"/>
                <w:sz w:val="24"/>
              </w:rPr>
              <w:t>50mm</w:t>
            </w:r>
            <w:r>
              <w:rPr>
                <w:rFonts w:hint="eastAsia"/>
                <w:color w:val="auto"/>
                <w:sz w:val="24"/>
              </w:rPr>
              <w:t>厚的</w:t>
            </w:r>
            <w:r>
              <w:rPr>
                <w:color w:val="auto"/>
                <w:sz w:val="24"/>
              </w:rPr>
              <w:t>A</w:t>
            </w:r>
            <w:r>
              <w:rPr>
                <w:rFonts w:hint="eastAsia"/>
                <w:color w:val="auto"/>
                <w:sz w:val="24"/>
              </w:rPr>
              <w:t>级防火隔热保温层，防止阳光照射时内部温度过热，低温天气起到保温作用。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b/>
                <w:color w:val="auto"/>
                <w:sz w:val="24"/>
              </w:rPr>
            </w:pPr>
          </w:p>
        </w:tc>
        <w:tc>
          <w:tcPr>
            <w:tcW w:w="7905" w:type="dxa"/>
            <w:vAlign w:val="center"/>
          </w:tcPr>
          <w:p>
            <w:pPr>
              <w:rPr>
                <w:color w:val="auto"/>
                <w:sz w:val="24"/>
              </w:rPr>
            </w:pPr>
            <w:r>
              <w:rPr>
                <w:color w:val="auto"/>
                <w:sz w:val="24"/>
              </w:rPr>
              <w:t>6.2</w:t>
            </w:r>
            <w:r>
              <w:rPr>
                <w:rFonts w:hint="eastAsia"/>
                <w:color w:val="auto"/>
                <w:sz w:val="24"/>
              </w:rPr>
              <w:t>柜体内设有防爆空调，当室温度超过或低于设定的安全温度值（</w:t>
            </w:r>
            <w:r>
              <w:rPr>
                <w:color w:val="auto"/>
                <w:sz w:val="24"/>
              </w:rPr>
              <w:t>3-28</w:t>
            </w:r>
            <w:r>
              <w:rPr>
                <w:rFonts w:hint="eastAsia"/>
                <w:color w:val="auto"/>
                <w:sz w:val="24"/>
              </w:rPr>
              <w:t>℃）时将自动开启，自动有效保证柜内的安全温度，防爆空调功率：大</w:t>
            </w:r>
            <w:r>
              <w:rPr>
                <w:color w:val="auto"/>
                <w:sz w:val="24"/>
              </w:rPr>
              <w:t xml:space="preserve">2P, </w:t>
            </w:r>
            <w:r>
              <w:rPr>
                <w:rFonts w:hint="eastAsia"/>
                <w:color w:val="auto"/>
                <w:sz w:val="24"/>
              </w:rPr>
              <w:t>制冷量</w:t>
            </w:r>
            <w:r>
              <w:rPr>
                <w:color w:val="auto"/>
                <w:sz w:val="24"/>
              </w:rPr>
              <w:t>3000W</w:t>
            </w:r>
            <w:r>
              <w:rPr>
                <w:rFonts w:hint="eastAsia"/>
                <w:color w:val="auto"/>
                <w:sz w:val="24"/>
              </w:rPr>
              <w:t>；制热量</w:t>
            </w:r>
            <w:r>
              <w:rPr>
                <w:color w:val="auto"/>
                <w:sz w:val="24"/>
              </w:rPr>
              <w:t>3500 W</w:t>
            </w:r>
            <w:r>
              <w:rPr>
                <w:rFonts w:hint="eastAsia"/>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1"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b/>
                <w:color w:val="auto"/>
                <w:sz w:val="24"/>
              </w:rPr>
            </w:pPr>
          </w:p>
        </w:tc>
        <w:tc>
          <w:tcPr>
            <w:tcW w:w="7905" w:type="dxa"/>
            <w:vAlign w:val="center"/>
          </w:tcPr>
          <w:p>
            <w:pPr>
              <w:rPr>
                <w:color w:val="auto"/>
                <w:sz w:val="24"/>
              </w:rPr>
            </w:pPr>
            <w:r>
              <w:rPr>
                <w:color w:val="auto"/>
                <w:sz w:val="24"/>
              </w:rPr>
              <w:t>6.3</w:t>
            </w:r>
            <w:r>
              <w:rPr>
                <w:rFonts w:hint="eastAsia"/>
                <w:color w:val="auto"/>
                <w:sz w:val="24"/>
              </w:rPr>
              <w:t>柜体上部配有喷淋降温系统，当柜内温度超过</w:t>
            </w:r>
            <w:r>
              <w:rPr>
                <w:color w:val="auto"/>
                <w:sz w:val="24"/>
              </w:rPr>
              <w:t>28</w:t>
            </w:r>
            <w:r>
              <w:rPr>
                <w:rFonts w:hint="eastAsia"/>
                <w:color w:val="auto"/>
                <w:sz w:val="24"/>
              </w:rPr>
              <w:t>℃或低于</w:t>
            </w:r>
            <w:r>
              <w:rPr>
                <w:color w:val="auto"/>
                <w:sz w:val="24"/>
              </w:rPr>
              <w:t>3</w:t>
            </w:r>
            <w:r>
              <w:rPr>
                <w:rFonts w:hint="eastAsia"/>
                <w:color w:val="auto"/>
                <w:sz w:val="24"/>
              </w:rPr>
              <w:t>℃时，系统将自动启动声光报警灯，同时通过云控制平台给用户发警示短信，用户可选择手动开启喷淋降温系统；若遇极端状态下（温度超过</w:t>
            </w:r>
            <w:r>
              <w:rPr>
                <w:color w:val="auto"/>
                <w:sz w:val="24"/>
              </w:rPr>
              <w:t>58</w:t>
            </w:r>
            <w:r>
              <w:rPr>
                <w:rFonts w:hint="eastAsia"/>
                <w:color w:val="auto"/>
                <w:sz w:val="24"/>
              </w:rPr>
              <w:t>℃），控制系统可以通过电动球阀自动控制柜体顶部的喷淋装置，起降温灭火作用；</w:t>
            </w:r>
          </w:p>
          <w:p>
            <w:pPr>
              <w:rPr>
                <w:color w:val="auto"/>
                <w:sz w:val="24"/>
              </w:rPr>
            </w:pPr>
            <w:r>
              <w:rPr>
                <w:rFonts w:hint="eastAsia"/>
                <w:color w:val="auto"/>
                <w:sz w:val="24"/>
              </w:rPr>
              <w:t>★提供喷淋系统的供水水箱、管路、电磁阀与净水装置的用户现场实景安装连接图，以保证喷淋系统能够在紧急情况下正常使用；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b/>
                <w:color w:val="auto"/>
                <w:sz w:val="24"/>
              </w:rPr>
            </w:pPr>
          </w:p>
        </w:tc>
        <w:tc>
          <w:tcPr>
            <w:tcW w:w="7905" w:type="dxa"/>
            <w:vAlign w:val="center"/>
          </w:tcPr>
          <w:p>
            <w:pPr>
              <w:rPr>
                <w:color w:val="auto"/>
                <w:sz w:val="24"/>
              </w:rPr>
            </w:pPr>
            <w:r>
              <w:rPr>
                <w:color w:val="auto"/>
                <w:sz w:val="24"/>
              </w:rPr>
              <w:t>6.4</w:t>
            </w:r>
            <w:r>
              <w:rPr>
                <w:rFonts w:hint="eastAsia"/>
                <w:color w:val="auto"/>
                <w:sz w:val="24"/>
              </w:rPr>
              <w:t>喷淋降温装置配有手动球阀，停电或电路故障时，可以手动打开阀门启动喷淋降温。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b/>
                <w:color w:val="auto"/>
                <w:sz w:val="24"/>
              </w:rPr>
            </w:pPr>
          </w:p>
        </w:tc>
        <w:tc>
          <w:tcPr>
            <w:tcW w:w="7905" w:type="dxa"/>
            <w:vAlign w:val="center"/>
          </w:tcPr>
          <w:p>
            <w:pPr>
              <w:rPr>
                <w:color w:val="auto"/>
                <w:sz w:val="24"/>
              </w:rPr>
            </w:pPr>
            <w:r>
              <w:rPr>
                <w:color w:val="auto"/>
                <w:sz w:val="24"/>
              </w:rPr>
              <w:t>6.6</w:t>
            </w:r>
            <w:r>
              <w:rPr>
                <w:rFonts w:hint="eastAsia"/>
                <w:color w:val="auto"/>
                <w:sz w:val="24"/>
              </w:rPr>
              <w:t>在防火隔热层、空调系统、喷淋系统等</w:t>
            </w:r>
            <w:r>
              <w:rPr>
                <w:rFonts w:hint="eastAsia" w:ascii="宋体" w:hAnsi="宋体" w:cs="宋体"/>
                <w:color w:val="auto"/>
                <w:sz w:val="24"/>
              </w:rPr>
              <w:t>协同作用下可将全年柜内温度控制在安全温度值内。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2" w:hRule="atLeast"/>
          <w:tblHeader/>
        </w:trPr>
        <w:tc>
          <w:tcPr>
            <w:tcW w:w="698" w:type="dxa"/>
            <w:vMerge w:val="restart"/>
            <w:shd w:val="clear" w:color="auto" w:fill="B8CCE4"/>
            <w:vAlign w:val="center"/>
          </w:tcPr>
          <w:p>
            <w:pPr>
              <w:pStyle w:val="129"/>
              <w:numPr>
                <w:ilvl w:val="0"/>
                <w:numId w:val="63"/>
              </w:numPr>
              <w:spacing w:line="360" w:lineRule="auto"/>
              <w:ind w:firstLineChars="0"/>
              <w:jc w:val="center"/>
              <w:rPr>
                <w:color w:val="auto"/>
              </w:rPr>
            </w:pPr>
          </w:p>
        </w:tc>
        <w:tc>
          <w:tcPr>
            <w:tcW w:w="1377" w:type="dxa"/>
            <w:vMerge w:val="restart"/>
            <w:vAlign w:val="center"/>
          </w:tcPr>
          <w:p>
            <w:pPr>
              <w:spacing w:line="360" w:lineRule="auto"/>
              <w:jc w:val="center"/>
              <w:rPr>
                <w:b/>
                <w:color w:val="auto"/>
                <w:sz w:val="24"/>
              </w:rPr>
            </w:pPr>
            <w:r>
              <w:rPr>
                <w:rFonts w:hint="eastAsia"/>
                <w:b/>
                <w:color w:val="auto"/>
                <w:sz w:val="24"/>
              </w:rPr>
              <w:t>传感监测系统</w:t>
            </w:r>
          </w:p>
        </w:tc>
        <w:tc>
          <w:tcPr>
            <w:tcW w:w="7905" w:type="dxa"/>
            <w:vAlign w:val="center"/>
          </w:tcPr>
          <w:p>
            <w:pPr>
              <w:jc w:val="left"/>
              <w:rPr>
                <w:color w:val="auto"/>
                <w:sz w:val="24"/>
              </w:rPr>
            </w:pPr>
            <w:r>
              <w:rPr>
                <w:color w:val="auto"/>
                <w:sz w:val="24"/>
              </w:rPr>
              <w:t>7.1</w:t>
            </w:r>
            <w:r>
              <w:rPr>
                <w:rFonts w:hint="eastAsia"/>
                <w:color w:val="auto"/>
                <w:sz w:val="24"/>
              </w:rPr>
              <w:t>柜内设置湿度指示装置、温湿度传感装置和可燃气体监测传感装置，带</w:t>
            </w:r>
            <w:r>
              <w:rPr>
                <w:color w:val="auto"/>
                <w:sz w:val="24"/>
              </w:rPr>
              <w:t>LED</w:t>
            </w:r>
            <w:r>
              <w:rPr>
                <w:rFonts w:hint="eastAsia"/>
                <w:color w:val="auto"/>
                <w:sz w:val="24"/>
              </w:rPr>
              <w:t>现场数据显示功能，用于柜体内部环境监测；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2"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b/>
                <w:color w:val="auto"/>
                <w:sz w:val="24"/>
              </w:rPr>
            </w:pPr>
          </w:p>
        </w:tc>
        <w:tc>
          <w:tcPr>
            <w:tcW w:w="7905" w:type="dxa"/>
            <w:vAlign w:val="center"/>
          </w:tcPr>
          <w:p>
            <w:pPr>
              <w:jc w:val="left"/>
              <w:rPr>
                <w:color w:val="auto"/>
                <w:sz w:val="24"/>
              </w:rPr>
            </w:pPr>
            <w:r>
              <w:rPr>
                <w:color w:val="auto"/>
                <w:sz w:val="24"/>
              </w:rPr>
              <w:t>7.2</w:t>
            </w:r>
            <w:r>
              <w:rPr>
                <w:rFonts w:hint="eastAsia"/>
                <w:color w:val="auto"/>
                <w:sz w:val="24"/>
              </w:rPr>
              <w:t>各传感装置能</w:t>
            </w:r>
            <w:r>
              <w:rPr>
                <w:color w:val="auto"/>
                <w:sz w:val="24"/>
              </w:rPr>
              <w:t>24</w:t>
            </w:r>
            <w:r>
              <w:rPr>
                <w:rFonts w:hint="eastAsia"/>
                <w:color w:val="auto"/>
                <w:sz w:val="24"/>
              </w:rPr>
              <w:t>小时实时监测柜体内部，当指标达到设定安全值</w:t>
            </w:r>
            <w:r>
              <w:rPr>
                <w:color w:val="auto"/>
                <w:sz w:val="24"/>
              </w:rPr>
              <w:t>20%-30%</w:t>
            </w:r>
            <w:r>
              <w:rPr>
                <w:rFonts w:hint="eastAsia"/>
                <w:color w:val="auto"/>
                <w:sz w:val="24"/>
              </w:rPr>
              <w:t>（可调）时，通过控制系统自动发出警报，同时智能执行各类处置措施。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blHeader/>
        </w:trPr>
        <w:tc>
          <w:tcPr>
            <w:tcW w:w="698" w:type="dxa"/>
            <w:vMerge w:val="restart"/>
            <w:shd w:val="clear" w:color="auto" w:fill="B8CCE4"/>
            <w:vAlign w:val="center"/>
          </w:tcPr>
          <w:p>
            <w:pPr>
              <w:pStyle w:val="129"/>
              <w:numPr>
                <w:ilvl w:val="0"/>
                <w:numId w:val="63"/>
              </w:numPr>
              <w:spacing w:line="360" w:lineRule="auto"/>
              <w:ind w:firstLineChars="0"/>
              <w:jc w:val="center"/>
              <w:rPr>
                <w:color w:val="auto"/>
              </w:rPr>
            </w:pPr>
          </w:p>
        </w:tc>
        <w:tc>
          <w:tcPr>
            <w:tcW w:w="1377" w:type="dxa"/>
            <w:vMerge w:val="restart"/>
            <w:vAlign w:val="center"/>
          </w:tcPr>
          <w:p>
            <w:pPr>
              <w:spacing w:line="360" w:lineRule="auto"/>
              <w:jc w:val="center"/>
              <w:rPr>
                <w:b/>
                <w:color w:val="auto"/>
                <w:sz w:val="24"/>
              </w:rPr>
            </w:pPr>
            <w:r>
              <w:rPr>
                <w:rFonts w:hint="eastAsia"/>
                <w:b/>
                <w:color w:val="auto"/>
                <w:sz w:val="24"/>
              </w:rPr>
              <w:t>防爆供电系统</w:t>
            </w:r>
          </w:p>
        </w:tc>
        <w:tc>
          <w:tcPr>
            <w:tcW w:w="7905" w:type="dxa"/>
            <w:vAlign w:val="center"/>
          </w:tcPr>
          <w:p>
            <w:pPr>
              <w:jc w:val="left"/>
              <w:rPr>
                <w:color w:val="auto"/>
                <w:sz w:val="24"/>
              </w:rPr>
            </w:pPr>
            <w:r>
              <w:rPr>
                <w:color w:val="auto"/>
                <w:sz w:val="24"/>
              </w:rPr>
              <w:t>8.1</w:t>
            </w:r>
            <w:r>
              <w:rPr>
                <w:rFonts w:hint="eastAsia"/>
                <w:color w:val="auto"/>
                <w:sz w:val="24"/>
              </w:rPr>
              <w:t>防爆配电箱防爆等级达到</w:t>
            </w:r>
            <w:r>
              <w:rPr>
                <w:color w:val="auto"/>
                <w:sz w:val="24"/>
              </w:rPr>
              <w:t>ExdII BT6</w:t>
            </w:r>
            <w:r>
              <w:rPr>
                <w:rFonts w:hint="eastAsia"/>
                <w:color w:val="auto"/>
                <w:sz w:val="24"/>
              </w:rPr>
              <w:t>，外壳材料由铝合金铸压成型，经环氧树脂涂装；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8"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b/>
                <w:color w:val="auto"/>
                <w:sz w:val="24"/>
              </w:rPr>
            </w:pPr>
          </w:p>
        </w:tc>
        <w:tc>
          <w:tcPr>
            <w:tcW w:w="7905" w:type="dxa"/>
            <w:vAlign w:val="center"/>
          </w:tcPr>
          <w:p>
            <w:pPr>
              <w:jc w:val="left"/>
              <w:rPr>
                <w:color w:val="auto"/>
                <w:sz w:val="24"/>
              </w:rPr>
            </w:pPr>
            <w:r>
              <w:rPr>
                <w:color w:val="auto"/>
                <w:sz w:val="24"/>
              </w:rPr>
              <w:t>8.2</w:t>
            </w:r>
            <w:r>
              <w:rPr>
                <w:rFonts w:hint="eastAsia"/>
                <w:color w:val="auto"/>
                <w:sz w:val="24"/>
              </w:rPr>
              <w:t>内部照明采用防爆日光灯，出口处设置防爆应急灯；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b/>
                <w:color w:val="auto"/>
                <w:sz w:val="24"/>
              </w:rPr>
            </w:pPr>
          </w:p>
        </w:tc>
        <w:tc>
          <w:tcPr>
            <w:tcW w:w="7905" w:type="dxa"/>
            <w:vAlign w:val="center"/>
          </w:tcPr>
          <w:p>
            <w:pPr>
              <w:jc w:val="left"/>
              <w:rPr>
                <w:color w:val="auto"/>
                <w:sz w:val="24"/>
              </w:rPr>
            </w:pPr>
            <w:r>
              <w:rPr>
                <w:color w:val="auto"/>
                <w:sz w:val="24"/>
              </w:rPr>
              <w:t>8.3</w:t>
            </w:r>
            <w:r>
              <w:rPr>
                <w:rFonts w:hint="eastAsia"/>
                <w:color w:val="auto"/>
                <w:sz w:val="24"/>
              </w:rPr>
              <w:t>内部温度传感器使用防爆设计，内部空调使用防爆设计，内部可燃气体传感器使用防爆设计；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2"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b/>
                <w:color w:val="auto"/>
                <w:sz w:val="24"/>
              </w:rPr>
            </w:pPr>
          </w:p>
        </w:tc>
        <w:tc>
          <w:tcPr>
            <w:tcW w:w="7905" w:type="dxa"/>
            <w:vAlign w:val="center"/>
          </w:tcPr>
          <w:p>
            <w:pPr>
              <w:jc w:val="left"/>
              <w:rPr>
                <w:color w:val="auto"/>
                <w:sz w:val="24"/>
              </w:rPr>
            </w:pPr>
            <w:r>
              <w:rPr>
                <w:color w:val="auto"/>
                <w:sz w:val="24"/>
              </w:rPr>
              <w:t>8.4</w:t>
            </w:r>
            <w:r>
              <w:rPr>
                <w:rFonts w:hint="eastAsia"/>
                <w:color w:val="auto"/>
                <w:sz w:val="24"/>
              </w:rPr>
              <w:t>柜内电路敷设按照防爆要求设置，柜内的防爆电器设备的安装、维护、检测等满足《防爆电器设计、安装、维护、检测与安全技术标准规范实用手册》的要求；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b/>
                <w:color w:val="auto"/>
                <w:sz w:val="24"/>
              </w:rPr>
            </w:pPr>
          </w:p>
        </w:tc>
        <w:tc>
          <w:tcPr>
            <w:tcW w:w="7905" w:type="dxa"/>
            <w:vAlign w:val="center"/>
          </w:tcPr>
          <w:p>
            <w:pPr>
              <w:jc w:val="left"/>
              <w:rPr>
                <w:color w:val="auto"/>
                <w:sz w:val="24"/>
              </w:rPr>
            </w:pPr>
            <w:r>
              <w:rPr>
                <w:color w:val="auto"/>
                <w:sz w:val="24"/>
              </w:rPr>
              <w:t>8.5</w:t>
            </w:r>
            <w:r>
              <w:rPr>
                <w:rFonts w:hint="eastAsia"/>
                <w:color w:val="auto"/>
                <w:sz w:val="24"/>
              </w:rPr>
              <w:t>内部主要电气配件有国家防爆电气检验部门出具的防爆合格证及检测报告。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blHeader/>
        </w:trPr>
        <w:tc>
          <w:tcPr>
            <w:tcW w:w="698" w:type="dxa"/>
            <w:shd w:val="clear" w:color="auto" w:fill="B8CCE4"/>
            <w:vAlign w:val="center"/>
          </w:tcPr>
          <w:p>
            <w:pPr>
              <w:pStyle w:val="129"/>
              <w:numPr>
                <w:ilvl w:val="0"/>
                <w:numId w:val="63"/>
              </w:numPr>
              <w:spacing w:line="360" w:lineRule="auto"/>
              <w:ind w:firstLineChars="0"/>
              <w:jc w:val="center"/>
              <w:rPr>
                <w:color w:val="auto"/>
              </w:rPr>
            </w:pPr>
          </w:p>
        </w:tc>
        <w:tc>
          <w:tcPr>
            <w:tcW w:w="1377" w:type="dxa"/>
            <w:vAlign w:val="center"/>
          </w:tcPr>
          <w:p>
            <w:pPr>
              <w:spacing w:line="360" w:lineRule="auto"/>
              <w:jc w:val="center"/>
              <w:rPr>
                <w:b/>
                <w:color w:val="auto"/>
                <w:sz w:val="24"/>
              </w:rPr>
            </w:pPr>
            <w:r>
              <w:rPr>
                <w:rFonts w:hint="eastAsia"/>
                <w:b/>
                <w:color w:val="auto"/>
                <w:sz w:val="24"/>
              </w:rPr>
              <w:t>漏液回收系统</w:t>
            </w:r>
          </w:p>
        </w:tc>
        <w:tc>
          <w:tcPr>
            <w:tcW w:w="7905" w:type="dxa"/>
            <w:vAlign w:val="center"/>
          </w:tcPr>
          <w:p>
            <w:pPr>
              <w:jc w:val="left"/>
              <w:rPr>
                <w:color w:val="auto"/>
                <w:sz w:val="24"/>
              </w:rPr>
            </w:pPr>
            <w:r>
              <w:rPr>
                <w:color w:val="auto"/>
                <w:sz w:val="24"/>
              </w:rPr>
              <w:t>9.1</w:t>
            </w:r>
            <w:r>
              <w:rPr>
                <w:rFonts w:hint="eastAsia"/>
                <w:color w:val="auto"/>
                <w:sz w:val="24"/>
              </w:rPr>
              <w:t>柜体有漏液回收功能，地板中心设有集液槽，集液槽顶部采用</w:t>
            </w:r>
            <w:r>
              <w:rPr>
                <w:color w:val="auto"/>
                <w:sz w:val="24"/>
              </w:rPr>
              <w:t>PP</w:t>
            </w:r>
            <w:r>
              <w:rPr>
                <w:rFonts w:hint="eastAsia"/>
                <w:color w:val="auto"/>
                <w:sz w:val="24"/>
              </w:rPr>
              <w:t>漏液盖板，开有漏液孔，漏液可沿漏液孔流进集液槽；再由</w:t>
            </w:r>
            <w:r>
              <w:rPr>
                <w:color w:val="auto"/>
                <w:sz w:val="24"/>
              </w:rPr>
              <w:t>PP</w:t>
            </w:r>
            <w:r>
              <w:rPr>
                <w:rFonts w:hint="eastAsia"/>
                <w:color w:val="auto"/>
                <w:sz w:val="24"/>
              </w:rPr>
              <w:t>漏液管流到回收桶，进行漏液收集、处理。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2" w:hRule="atLeast"/>
          <w:tblHeader/>
        </w:trPr>
        <w:tc>
          <w:tcPr>
            <w:tcW w:w="698" w:type="dxa"/>
            <w:vMerge w:val="restart"/>
            <w:shd w:val="clear" w:color="auto" w:fill="B8CCE4"/>
            <w:vAlign w:val="center"/>
          </w:tcPr>
          <w:p>
            <w:pPr>
              <w:pStyle w:val="129"/>
              <w:numPr>
                <w:ilvl w:val="0"/>
                <w:numId w:val="63"/>
              </w:numPr>
              <w:spacing w:line="360" w:lineRule="auto"/>
              <w:ind w:firstLineChars="0"/>
              <w:jc w:val="center"/>
              <w:rPr>
                <w:color w:val="auto"/>
              </w:rPr>
            </w:pPr>
          </w:p>
        </w:tc>
        <w:tc>
          <w:tcPr>
            <w:tcW w:w="1377" w:type="dxa"/>
            <w:vMerge w:val="restart"/>
            <w:vAlign w:val="center"/>
          </w:tcPr>
          <w:p>
            <w:pPr>
              <w:spacing w:line="360" w:lineRule="auto"/>
              <w:jc w:val="center"/>
              <w:rPr>
                <w:b/>
                <w:color w:val="auto"/>
                <w:sz w:val="24"/>
              </w:rPr>
            </w:pPr>
            <w:r>
              <w:rPr>
                <w:rFonts w:hint="eastAsia"/>
                <w:b/>
                <w:color w:val="auto"/>
                <w:sz w:val="24"/>
              </w:rPr>
              <w:t>自动消防灭火系统及安全措施</w:t>
            </w:r>
          </w:p>
        </w:tc>
        <w:tc>
          <w:tcPr>
            <w:tcW w:w="7905" w:type="dxa"/>
            <w:vAlign w:val="center"/>
          </w:tcPr>
          <w:p>
            <w:pPr>
              <w:jc w:val="left"/>
              <w:rPr>
                <w:color w:val="auto"/>
                <w:sz w:val="24"/>
              </w:rPr>
            </w:pPr>
            <w:r>
              <w:rPr>
                <w:color w:val="auto"/>
                <w:sz w:val="24"/>
              </w:rPr>
              <w:t>10.1</w:t>
            </w:r>
            <w:r>
              <w:rPr>
                <w:rFonts w:hint="eastAsia"/>
                <w:color w:val="auto"/>
                <w:sz w:val="24"/>
              </w:rPr>
              <w:t>柜体内顶部配有自动灭火装置</w:t>
            </w:r>
            <w:r>
              <w:rPr>
                <w:color w:val="auto"/>
                <w:sz w:val="24"/>
              </w:rPr>
              <w:t>8</w:t>
            </w:r>
            <w:r>
              <w:rPr>
                <w:rFonts w:hint="eastAsia"/>
                <w:color w:val="auto"/>
                <w:sz w:val="24"/>
              </w:rPr>
              <w:t>套，手投式灭火装置</w:t>
            </w:r>
            <w:r>
              <w:rPr>
                <w:color w:val="auto"/>
                <w:sz w:val="24"/>
              </w:rPr>
              <w:t>2</w:t>
            </w:r>
            <w:r>
              <w:rPr>
                <w:rFonts w:hint="eastAsia"/>
                <w:color w:val="auto"/>
                <w:sz w:val="24"/>
              </w:rPr>
              <w:t>套，覆盖整个柜体内部，当室内温度达到</w:t>
            </w:r>
            <w:r>
              <w:rPr>
                <w:color w:val="auto"/>
                <w:sz w:val="24"/>
              </w:rPr>
              <w:t>68</w:t>
            </w:r>
            <w:r>
              <w:rPr>
                <w:rFonts w:hint="eastAsia"/>
                <w:color w:val="auto"/>
                <w:sz w:val="24"/>
              </w:rPr>
              <w:t>℃时（响应温度可修改为</w:t>
            </w:r>
            <w:r>
              <w:rPr>
                <w:color w:val="auto"/>
                <w:sz w:val="24"/>
              </w:rPr>
              <w:t>90</w:t>
            </w:r>
            <w:r>
              <w:rPr>
                <w:rFonts w:hint="eastAsia"/>
                <w:color w:val="auto"/>
                <w:sz w:val="24"/>
              </w:rPr>
              <w:t>℃），感温元件自动爆破，自动灭火装置可自动喷出灭火药剂，灭火药剂自动喷放到防护区实施灭火，灭火范围覆盖整个柜体内部；在紧急情况下也可以人工投入灭火；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b/>
                <w:color w:val="auto"/>
                <w:sz w:val="24"/>
              </w:rPr>
            </w:pPr>
          </w:p>
        </w:tc>
        <w:tc>
          <w:tcPr>
            <w:tcW w:w="7905" w:type="dxa"/>
            <w:vAlign w:val="center"/>
          </w:tcPr>
          <w:p>
            <w:pPr>
              <w:jc w:val="left"/>
              <w:rPr>
                <w:color w:val="auto"/>
                <w:sz w:val="24"/>
              </w:rPr>
            </w:pPr>
            <w:r>
              <w:rPr>
                <w:color w:val="auto"/>
                <w:sz w:val="24"/>
              </w:rPr>
              <w:t>10.2</w:t>
            </w:r>
            <w:r>
              <w:rPr>
                <w:rFonts w:hint="eastAsia"/>
                <w:color w:val="auto"/>
                <w:sz w:val="24"/>
              </w:rPr>
              <w:t>柜体设有内部打开的紧急逃生门，并设有一键逃生功能，且装有应急照明灯和安全出口指示灯。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4"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b/>
                <w:color w:val="auto"/>
                <w:sz w:val="24"/>
              </w:rPr>
            </w:pPr>
          </w:p>
        </w:tc>
        <w:tc>
          <w:tcPr>
            <w:tcW w:w="7905" w:type="dxa"/>
            <w:vAlign w:val="center"/>
          </w:tcPr>
          <w:p>
            <w:pPr>
              <w:jc w:val="left"/>
              <w:rPr>
                <w:color w:val="auto"/>
                <w:sz w:val="24"/>
              </w:rPr>
            </w:pPr>
            <w:r>
              <w:rPr>
                <w:color w:val="auto"/>
                <w:sz w:val="24"/>
              </w:rPr>
              <w:t>10.3</w:t>
            </w:r>
            <w:r>
              <w:rPr>
                <w:rFonts w:hint="eastAsia"/>
                <w:color w:val="auto"/>
                <w:sz w:val="24"/>
              </w:rPr>
              <w:t>柜体外侧消防柜内配有干粉灭火器</w:t>
            </w:r>
            <w:r>
              <w:rPr>
                <w:color w:val="auto"/>
                <w:sz w:val="24"/>
              </w:rPr>
              <w:t>2</w:t>
            </w:r>
            <w:r>
              <w:rPr>
                <w:rFonts w:hint="eastAsia"/>
                <w:color w:val="auto"/>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2" w:hRule="atLeast"/>
          <w:tblHeader/>
        </w:trPr>
        <w:tc>
          <w:tcPr>
            <w:tcW w:w="698" w:type="dxa"/>
            <w:shd w:val="clear" w:color="auto" w:fill="B8CCE4"/>
            <w:vAlign w:val="center"/>
          </w:tcPr>
          <w:p>
            <w:pPr>
              <w:pStyle w:val="129"/>
              <w:numPr>
                <w:ilvl w:val="0"/>
                <w:numId w:val="63"/>
              </w:numPr>
              <w:spacing w:line="360" w:lineRule="auto"/>
              <w:ind w:firstLineChars="0"/>
              <w:jc w:val="center"/>
              <w:rPr>
                <w:color w:val="auto"/>
              </w:rPr>
            </w:pPr>
          </w:p>
        </w:tc>
        <w:tc>
          <w:tcPr>
            <w:tcW w:w="1377" w:type="dxa"/>
            <w:vAlign w:val="center"/>
          </w:tcPr>
          <w:p>
            <w:pPr>
              <w:spacing w:line="360" w:lineRule="auto"/>
              <w:jc w:val="center"/>
              <w:rPr>
                <w:b/>
                <w:color w:val="auto"/>
                <w:sz w:val="24"/>
              </w:rPr>
            </w:pPr>
            <w:r>
              <w:rPr>
                <w:rFonts w:hint="eastAsia"/>
                <w:b/>
                <w:color w:val="auto"/>
                <w:sz w:val="24"/>
              </w:rPr>
              <w:t>个人安全防护设施</w:t>
            </w:r>
          </w:p>
        </w:tc>
        <w:tc>
          <w:tcPr>
            <w:tcW w:w="7905" w:type="dxa"/>
            <w:vAlign w:val="center"/>
          </w:tcPr>
          <w:p>
            <w:pPr>
              <w:jc w:val="left"/>
              <w:rPr>
                <w:color w:val="auto"/>
                <w:sz w:val="24"/>
              </w:rPr>
            </w:pPr>
            <w:r>
              <w:rPr>
                <w:rFonts w:hint="eastAsia"/>
                <w:color w:val="auto"/>
                <w:sz w:val="24"/>
              </w:rPr>
              <w:t>柜体外侧配备内嵌式个人防护箱，箱内配备特种防护服、特种防护面具、防护手套、防护眼镜等个人防护用品，每种防护用品</w:t>
            </w:r>
            <w:r>
              <w:rPr>
                <w:color w:val="auto"/>
                <w:sz w:val="24"/>
              </w:rPr>
              <w:t>2</w:t>
            </w:r>
            <w:r>
              <w:rPr>
                <w:rFonts w:hint="eastAsia"/>
                <w:color w:val="auto"/>
                <w:sz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9" w:hRule="atLeast"/>
          <w:tblHeader/>
        </w:trPr>
        <w:tc>
          <w:tcPr>
            <w:tcW w:w="698" w:type="dxa"/>
            <w:vMerge w:val="restart"/>
            <w:shd w:val="clear" w:color="auto" w:fill="B8CCE4"/>
            <w:vAlign w:val="center"/>
          </w:tcPr>
          <w:p>
            <w:pPr>
              <w:pStyle w:val="129"/>
              <w:numPr>
                <w:ilvl w:val="0"/>
                <w:numId w:val="63"/>
              </w:numPr>
              <w:spacing w:line="360" w:lineRule="auto"/>
              <w:ind w:firstLineChars="0"/>
              <w:jc w:val="center"/>
              <w:rPr>
                <w:color w:val="auto"/>
              </w:rPr>
            </w:pPr>
          </w:p>
        </w:tc>
        <w:tc>
          <w:tcPr>
            <w:tcW w:w="1377" w:type="dxa"/>
            <w:vMerge w:val="restart"/>
            <w:vAlign w:val="center"/>
          </w:tcPr>
          <w:p>
            <w:pPr>
              <w:spacing w:line="360" w:lineRule="auto"/>
              <w:jc w:val="center"/>
              <w:rPr>
                <w:b/>
                <w:color w:val="auto"/>
                <w:sz w:val="24"/>
              </w:rPr>
            </w:pPr>
            <w:r>
              <w:rPr>
                <w:rFonts w:hint="eastAsia"/>
                <w:b/>
                <w:color w:val="auto"/>
                <w:sz w:val="24"/>
              </w:rPr>
              <w:t>静电防护系统</w:t>
            </w:r>
          </w:p>
        </w:tc>
        <w:tc>
          <w:tcPr>
            <w:tcW w:w="7905" w:type="dxa"/>
            <w:vAlign w:val="center"/>
          </w:tcPr>
          <w:p>
            <w:pPr>
              <w:rPr>
                <w:color w:val="auto"/>
                <w:sz w:val="24"/>
              </w:rPr>
            </w:pPr>
            <w:r>
              <w:rPr>
                <w:color w:val="auto"/>
                <w:sz w:val="24"/>
              </w:rPr>
              <w:t>12.1</w:t>
            </w:r>
            <w:r>
              <w:rPr>
                <w:rFonts w:hint="eastAsia"/>
                <w:color w:val="auto"/>
                <w:sz w:val="24"/>
              </w:rPr>
              <w:t>柜体门口设置有防暴人体静电释放柱，与柜体主体连接，用于工作人员在进入前触摸，泄去其身体上所携带的静电荷；主电源接入处安装有独立的防雷击浪涌保护器，用于防范静电危害。提供人体静电释放柱防爆合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b/>
                <w:color w:val="auto"/>
                <w:sz w:val="24"/>
              </w:rPr>
            </w:pPr>
          </w:p>
        </w:tc>
        <w:tc>
          <w:tcPr>
            <w:tcW w:w="7905" w:type="dxa"/>
            <w:vAlign w:val="center"/>
          </w:tcPr>
          <w:p>
            <w:pPr>
              <w:jc w:val="left"/>
              <w:rPr>
                <w:color w:val="auto"/>
                <w:sz w:val="24"/>
              </w:rPr>
            </w:pPr>
            <w:r>
              <w:rPr>
                <w:color w:val="auto"/>
                <w:sz w:val="24"/>
              </w:rPr>
              <w:t>12.2</w:t>
            </w:r>
            <w:r>
              <w:rPr>
                <w:rFonts w:hint="eastAsia"/>
                <w:color w:val="auto"/>
                <w:sz w:val="24"/>
              </w:rPr>
              <w:t>主电源接入处安装有独立的防雷击浪涌保护器，用于防范静电危害。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2" w:hRule="atLeast"/>
          <w:tblHeader/>
        </w:trPr>
        <w:tc>
          <w:tcPr>
            <w:tcW w:w="698" w:type="dxa"/>
            <w:vMerge w:val="restart"/>
            <w:shd w:val="clear" w:color="auto" w:fill="B8CCE4"/>
            <w:vAlign w:val="center"/>
          </w:tcPr>
          <w:p>
            <w:pPr>
              <w:pStyle w:val="129"/>
              <w:numPr>
                <w:ilvl w:val="0"/>
                <w:numId w:val="63"/>
              </w:numPr>
              <w:spacing w:line="360" w:lineRule="auto"/>
              <w:ind w:firstLineChars="0"/>
              <w:jc w:val="center"/>
              <w:rPr>
                <w:color w:val="auto"/>
              </w:rPr>
            </w:pPr>
          </w:p>
        </w:tc>
        <w:tc>
          <w:tcPr>
            <w:tcW w:w="1377" w:type="dxa"/>
            <w:vMerge w:val="restart"/>
            <w:vAlign w:val="center"/>
          </w:tcPr>
          <w:p>
            <w:pPr>
              <w:spacing w:line="360" w:lineRule="auto"/>
              <w:jc w:val="center"/>
              <w:rPr>
                <w:color w:val="auto"/>
                <w:sz w:val="24"/>
              </w:rPr>
            </w:pPr>
            <w:r>
              <w:rPr>
                <w:rFonts w:hint="eastAsia"/>
                <w:b/>
                <w:color w:val="auto"/>
                <w:sz w:val="24"/>
              </w:rPr>
              <w:t>视频监控系统</w:t>
            </w:r>
          </w:p>
        </w:tc>
        <w:tc>
          <w:tcPr>
            <w:tcW w:w="7905" w:type="dxa"/>
            <w:vAlign w:val="center"/>
          </w:tcPr>
          <w:p>
            <w:pPr>
              <w:adjustRightInd w:val="0"/>
              <w:textAlignment w:val="baseline"/>
              <w:rPr>
                <w:color w:val="auto"/>
                <w:sz w:val="24"/>
              </w:rPr>
            </w:pPr>
            <w:r>
              <w:rPr>
                <w:color w:val="auto"/>
                <w:sz w:val="24"/>
              </w:rPr>
              <w:t>13.1</w:t>
            </w:r>
            <w:r>
              <w:rPr>
                <w:rFonts w:hint="eastAsia"/>
                <w:color w:val="auto"/>
                <w:sz w:val="24"/>
              </w:rPr>
              <w:t>柜内配置</w:t>
            </w:r>
            <w:r>
              <w:rPr>
                <w:color w:val="auto"/>
                <w:sz w:val="24"/>
              </w:rPr>
              <w:t>2</w:t>
            </w:r>
            <w:r>
              <w:rPr>
                <w:rFonts w:hint="eastAsia"/>
                <w:color w:val="auto"/>
                <w:sz w:val="24"/>
              </w:rPr>
              <w:t>个防爆视频监控摄像头，可无死角全覆盖监控；摄像头带有夜间红外监控功能，分辨率不小于</w:t>
            </w:r>
            <w:r>
              <w:rPr>
                <w:color w:val="auto"/>
                <w:sz w:val="24"/>
              </w:rPr>
              <w:t>960P</w:t>
            </w:r>
            <w:r>
              <w:rPr>
                <w:rFonts w:hint="eastAsia"/>
                <w:color w:val="auto"/>
                <w:sz w:val="24"/>
              </w:rPr>
              <w:t>；</w:t>
            </w:r>
            <w:r>
              <w:rPr>
                <w:color w:val="auto"/>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color w:val="auto"/>
                <w:sz w:val="24"/>
              </w:rPr>
            </w:pPr>
          </w:p>
        </w:tc>
        <w:tc>
          <w:tcPr>
            <w:tcW w:w="7905" w:type="dxa"/>
            <w:vAlign w:val="center"/>
          </w:tcPr>
          <w:p>
            <w:pPr>
              <w:adjustRightInd w:val="0"/>
              <w:textAlignment w:val="baseline"/>
              <w:rPr>
                <w:color w:val="auto"/>
                <w:sz w:val="24"/>
              </w:rPr>
            </w:pPr>
            <w:r>
              <w:rPr>
                <w:color w:val="auto"/>
                <w:sz w:val="24"/>
              </w:rPr>
              <w:t>13.2</w:t>
            </w:r>
            <w:r>
              <w:rPr>
                <w:rFonts w:hint="eastAsia"/>
                <w:color w:val="auto"/>
                <w:sz w:val="24"/>
              </w:rPr>
              <w:t>柜外安装</w:t>
            </w:r>
            <w:r>
              <w:rPr>
                <w:color w:val="auto"/>
                <w:sz w:val="24"/>
              </w:rPr>
              <w:t>2</w:t>
            </w:r>
            <w:r>
              <w:rPr>
                <w:rFonts w:hint="eastAsia"/>
                <w:color w:val="auto"/>
                <w:sz w:val="24"/>
              </w:rPr>
              <w:t>只枪机摄像头，带有夜间红外监控功能，分辨率不小于</w:t>
            </w:r>
            <w:r>
              <w:rPr>
                <w:color w:val="auto"/>
                <w:sz w:val="24"/>
              </w:rPr>
              <w:t>960P</w:t>
            </w:r>
            <w:r>
              <w:rPr>
                <w:rFonts w:hint="eastAsia"/>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5"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color w:val="auto"/>
                <w:sz w:val="24"/>
              </w:rPr>
            </w:pPr>
          </w:p>
        </w:tc>
        <w:tc>
          <w:tcPr>
            <w:tcW w:w="7905" w:type="dxa"/>
            <w:vAlign w:val="center"/>
          </w:tcPr>
          <w:p>
            <w:pPr>
              <w:adjustRightInd w:val="0"/>
              <w:textAlignment w:val="baseline"/>
              <w:rPr>
                <w:color w:val="auto"/>
                <w:sz w:val="24"/>
              </w:rPr>
            </w:pPr>
            <w:r>
              <w:rPr>
                <w:color w:val="auto"/>
                <w:sz w:val="24"/>
              </w:rPr>
              <w:t xml:space="preserve">13.3 </w:t>
            </w:r>
            <w:r>
              <w:rPr>
                <w:rFonts w:hint="eastAsia"/>
                <w:color w:val="auto"/>
                <w:sz w:val="24"/>
              </w:rPr>
              <w:t>柜内外摄像头组成视频监控网络，采用</w:t>
            </w:r>
            <w:r>
              <w:rPr>
                <w:color w:val="auto"/>
                <w:sz w:val="24"/>
              </w:rPr>
              <w:t>POE</w:t>
            </w:r>
            <w:r>
              <w:rPr>
                <w:rFonts w:hint="eastAsia"/>
                <w:color w:val="auto"/>
                <w:sz w:val="24"/>
              </w:rPr>
              <w:t>组网；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1"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color w:val="auto"/>
                <w:sz w:val="24"/>
              </w:rPr>
            </w:pPr>
          </w:p>
        </w:tc>
        <w:tc>
          <w:tcPr>
            <w:tcW w:w="7905" w:type="dxa"/>
            <w:vAlign w:val="center"/>
          </w:tcPr>
          <w:p>
            <w:pPr>
              <w:adjustRightInd w:val="0"/>
              <w:textAlignment w:val="baseline"/>
              <w:rPr>
                <w:color w:val="auto"/>
                <w:sz w:val="24"/>
              </w:rPr>
            </w:pPr>
            <w:r>
              <w:rPr>
                <w:color w:val="auto"/>
                <w:sz w:val="24"/>
              </w:rPr>
              <w:t>13.4</w:t>
            </w:r>
            <w:r>
              <w:rPr>
                <w:rFonts w:hint="eastAsia"/>
                <w:color w:val="auto"/>
                <w:sz w:val="24"/>
              </w:rPr>
              <w:t>监控留有网络端口，需与校内的总监控系统对接；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b/>
                <w:color w:val="auto"/>
                <w:sz w:val="24"/>
              </w:rPr>
            </w:pPr>
          </w:p>
        </w:tc>
        <w:tc>
          <w:tcPr>
            <w:tcW w:w="7905" w:type="dxa"/>
            <w:vAlign w:val="center"/>
          </w:tcPr>
          <w:p>
            <w:pPr>
              <w:adjustRightInd w:val="0"/>
              <w:snapToGrid w:val="0"/>
              <w:jc w:val="left"/>
              <w:rPr>
                <w:color w:val="auto"/>
                <w:sz w:val="24"/>
              </w:rPr>
            </w:pPr>
            <w:r>
              <w:rPr>
                <w:color w:val="auto"/>
                <w:sz w:val="24"/>
              </w:rPr>
              <w:t>13.5</w:t>
            </w:r>
            <w:r>
              <w:rPr>
                <w:rFonts w:hint="eastAsia"/>
                <w:color w:val="auto"/>
                <w:sz w:val="24"/>
              </w:rPr>
              <w:t>视频监控系统带存储记忆功能，可记录一个月以上监控数据，可以在手机、电脑上随时查看。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 w:hRule="atLeast"/>
          <w:tblHeader/>
        </w:trPr>
        <w:tc>
          <w:tcPr>
            <w:tcW w:w="698" w:type="dxa"/>
            <w:vMerge w:val="restart"/>
            <w:shd w:val="clear" w:color="auto" w:fill="B8CCE4"/>
            <w:vAlign w:val="center"/>
          </w:tcPr>
          <w:p>
            <w:pPr>
              <w:pStyle w:val="129"/>
              <w:numPr>
                <w:ilvl w:val="0"/>
                <w:numId w:val="63"/>
              </w:numPr>
              <w:spacing w:line="360" w:lineRule="auto"/>
              <w:ind w:firstLineChars="0"/>
              <w:jc w:val="center"/>
              <w:rPr>
                <w:color w:val="auto"/>
              </w:rPr>
            </w:pPr>
          </w:p>
        </w:tc>
        <w:tc>
          <w:tcPr>
            <w:tcW w:w="1377" w:type="dxa"/>
            <w:vMerge w:val="restart"/>
            <w:vAlign w:val="center"/>
          </w:tcPr>
          <w:p>
            <w:pPr>
              <w:spacing w:line="360" w:lineRule="auto"/>
              <w:jc w:val="center"/>
              <w:rPr>
                <w:b/>
                <w:color w:val="auto"/>
                <w:sz w:val="24"/>
              </w:rPr>
            </w:pPr>
            <w:r>
              <w:rPr>
                <w:rFonts w:hint="eastAsia"/>
                <w:b/>
                <w:color w:val="auto"/>
                <w:sz w:val="24"/>
              </w:rPr>
              <w:t>避雷措施</w:t>
            </w:r>
          </w:p>
        </w:tc>
        <w:tc>
          <w:tcPr>
            <w:tcW w:w="7905" w:type="dxa"/>
            <w:vAlign w:val="center"/>
          </w:tcPr>
          <w:p>
            <w:pPr>
              <w:widowControl/>
              <w:jc w:val="left"/>
              <w:rPr>
                <w:color w:val="auto"/>
                <w:sz w:val="24"/>
              </w:rPr>
            </w:pPr>
            <w:r>
              <w:rPr>
                <w:color w:val="auto"/>
                <w:sz w:val="24"/>
              </w:rPr>
              <w:t>14.1</w:t>
            </w:r>
            <w:r>
              <w:rPr>
                <w:rFonts w:hint="eastAsia"/>
                <w:color w:val="auto"/>
                <w:sz w:val="24"/>
              </w:rPr>
              <w:t>主电源接入处安装有独立的防雷击浪涌保护器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2"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b/>
                <w:color w:val="auto"/>
                <w:sz w:val="24"/>
              </w:rPr>
            </w:pPr>
          </w:p>
        </w:tc>
        <w:tc>
          <w:tcPr>
            <w:tcW w:w="7905" w:type="dxa"/>
            <w:vAlign w:val="center"/>
          </w:tcPr>
          <w:p>
            <w:pPr>
              <w:widowControl/>
              <w:jc w:val="left"/>
              <w:rPr>
                <w:color w:val="auto"/>
                <w:sz w:val="24"/>
              </w:rPr>
            </w:pPr>
            <w:r>
              <w:rPr>
                <w:color w:val="auto"/>
                <w:sz w:val="24"/>
              </w:rPr>
              <w:t>14.2</w:t>
            </w:r>
            <w:r>
              <w:rPr>
                <w:rFonts w:hint="eastAsia"/>
                <w:color w:val="auto"/>
                <w:sz w:val="24"/>
              </w:rPr>
              <w:t>柜体外装设独立避雷针或架空避雷线</w:t>
            </w:r>
            <w:r>
              <w:rPr>
                <w:color w:val="auto"/>
                <w:sz w:val="24"/>
              </w:rPr>
              <w:t>(</w:t>
            </w:r>
            <w:r>
              <w:rPr>
                <w:rFonts w:hint="eastAsia"/>
                <w:color w:val="auto"/>
                <w:sz w:val="24"/>
              </w:rPr>
              <w:t>网</w:t>
            </w:r>
            <w:r>
              <w:rPr>
                <w:color w:val="auto"/>
                <w:sz w:val="24"/>
              </w:rPr>
              <w:t>)</w:t>
            </w:r>
            <w:r>
              <w:rPr>
                <w:rFonts w:hint="eastAsia"/>
                <w:color w:val="auto"/>
                <w:sz w:val="24"/>
              </w:rPr>
              <w:t>使柜体和突出物体均处于接闪器的保护范围内，或通过合理方式达到整体避雷效果。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2" w:hRule="atLeast"/>
          <w:tblHeader/>
        </w:trPr>
        <w:tc>
          <w:tcPr>
            <w:tcW w:w="698" w:type="dxa"/>
            <w:shd w:val="clear" w:color="auto" w:fill="B8CCE4"/>
            <w:vAlign w:val="center"/>
          </w:tcPr>
          <w:p>
            <w:pPr>
              <w:pStyle w:val="129"/>
              <w:numPr>
                <w:ilvl w:val="0"/>
                <w:numId w:val="63"/>
              </w:numPr>
              <w:spacing w:line="360" w:lineRule="auto"/>
              <w:ind w:firstLineChars="0"/>
              <w:jc w:val="center"/>
              <w:rPr>
                <w:color w:val="auto"/>
              </w:rPr>
            </w:pPr>
          </w:p>
        </w:tc>
        <w:tc>
          <w:tcPr>
            <w:tcW w:w="1377" w:type="dxa"/>
            <w:vAlign w:val="center"/>
          </w:tcPr>
          <w:p>
            <w:pPr>
              <w:spacing w:line="360" w:lineRule="auto"/>
              <w:jc w:val="center"/>
              <w:rPr>
                <w:b/>
                <w:color w:val="auto"/>
                <w:sz w:val="24"/>
              </w:rPr>
            </w:pPr>
            <w:r>
              <w:rPr>
                <w:rFonts w:hint="eastAsia"/>
                <w:b/>
                <w:color w:val="auto"/>
                <w:sz w:val="24"/>
              </w:rPr>
              <w:t>安全标识、标牌与说明</w:t>
            </w:r>
          </w:p>
        </w:tc>
        <w:tc>
          <w:tcPr>
            <w:tcW w:w="7905" w:type="dxa"/>
            <w:vAlign w:val="center"/>
          </w:tcPr>
          <w:p>
            <w:pPr>
              <w:jc w:val="left"/>
              <w:rPr>
                <w:color w:val="auto"/>
                <w:sz w:val="24"/>
              </w:rPr>
            </w:pPr>
            <w:r>
              <w:rPr>
                <w:color w:val="auto"/>
                <w:sz w:val="24"/>
              </w:rPr>
              <w:t>15.1</w:t>
            </w:r>
            <w:r>
              <w:rPr>
                <w:rFonts w:hint="eastAsia"/>
                <w:color w:val="auto"/>
                <w:sz w:val="24"/>
              </w:rPr>
              <w:t>在明显位置张贴有安全警示标识，安全标识符合</w:t>
            </w:r>
            <w:r>
              <w:rPr>
                <w:color w:val="auto"/>
                <w:sz w:val="24"/>
              </w:rPr>
              <w:t>GHS</w:t>
            </w:r>
            <w:r>
              <w:rPr>
                <w:rFonts w:hint="eastAsia"/>
                <w:color w:val="auto"/>
                <w:sz w:val="24"/>
              </w:rPr>
              <w:t>《全球化学品统一分类和标签制度》规定（标识采用耐腐蚀材质）；柜内配备可以挂置各种用户自备铭牌的装置；设备具有使用说明书，其内容包括：控制系统使用说明，灭火器使用说明，储存柜架使用说明，逃生门使用说明，个人防护用品使用说明等。</w:t>
            </w:r>
          </w:p>
        </w:tc>
      </w:tr>
    </w:tbl>
    <w:p>
      <w:pPr>
        <w:jc w:val="center"/>
        <w:rPr>
          <w:b/>
          <w:color w:val="auto"/>
          <w:sz w:val="32"/>
        </w:rPr>
      </w:pPr>
      <w:r>
        <w:rPr>
          <w:rFonts w:hint="eastAsia"/>
          <w:b/>
          <w:color w:val="auto"/>
          <w:sz w:val="32"/>
        </w:rPr>
        <w:br w:type="page"/>
      </w:r>
    </w:p>
    <w:tbl>
      <w:tblPr>
        <w:tblStyle w:val="47"/>
        <w:tblW w:w="9980" w:type="dxa"/>
        <w:tblInd w:w="-7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8"/>
        <w:gridCol w:w="1377"/>
        <w:gridCol w:w="7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1" w:hRule="atLeast"/>
          <w:tblHeader/>
        </w:trPr>
        <w:tc>
          <w:tcPr>
            <w:tcW w:w="9980" w:type="dxa"/>
            <w:gridSpan w:val="3"/>
            <w:shd w:val="clear" w:color="auto" w:fill="DBE5F1"/>
            <w:vAlign w:val="center"/>
          </w:tcPr>
          <w:p>
            <w:pPr>
              <w:jc w:val="center"/>
              <w:rPr>
                <w:b/>
                <w:color w:val="auto"/>
                <w:sz w:val="24"/>
              </w:rPr>
            </w:pPr>
            <w:r>
              <w:rPr>
                <w:rFonts w:hint="eastAsia"/>
                <w:b/>
                <w:color w:val="auto"/>
                <w:sz w:val="32"/>
              </w:rPr>
              <w:t>（二）、物联网管控系统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blHeader/>
        </w:trPr>
        <w:tc>
          <w:tcPr>
            <w:tcW w:w="698" w:type="dxa"/>
            <w:vMerge w:val="restart"/>
            <w:shd w:val="clear" w:color="auto" w:fill="B8CCE4"/>
            <w:vAlign w:val="center"/>
          </w:tcPr>
          <w:p>
            <w:pPr>
              <w:pStyle w:val="129"/>
              <w:numPr>
                <w:ilvl w:val="0"/>
                <w:numId w:val="63"/>
              </w:numPr>
              <w:spacing w:line="360" w:lineRule="auto"/>
              <w:ind w:firstLineChars="0"/>
              <w:jc w:val="center"/>
              <w:rPr>
                <w:color w:val="auto"/>
              </w:rPr>
            </w:pPr>
          </w:p>
        </w:tc>
        <w:tc>
          <w:tcPr>
            <w:tcW w:w="1377" w:type="dxa"/>
            <w:vMerge w:val="restart"/>
            <w:vAlign w:val="center"/>
          </w:tcPr>
          <w:p>
            <w:pPr>
              <w:spacing w:line="360" w:lineRule="auto"/>
              <w:jc w:val="center"/>
              <w:rPr>
                <w:b/>
                <w:color w:val="auto"/>
                <w:sz w:val="24"/>
              </w:rPr>
            </w:pPr>
            <w:r>
              <w:rPr>
                <w:rFonts w:hint="eastAsia"/>
                <w:b/>
                <w:color w:val="auto"/>
                <w:sz w:val="24"/>
              </w:rPr>
              <w:t>远程在线实时监控系统</w:t>
            </w:r>
          </w:p>
        </w:tc>
        <w:tc>
          <w:tcPr>
            <w:tcW w:w="7905" w:type="dxa"/>
            <w:vAlign w:val="center"/>
          </w:tcPr>
          <w:p>
            <w:pPr>
              <w:jc w:val="left"/>
              <w:rPr>
                <w:color w:val="auto"/>
                <w:sz w:val="24"/>
              </w:rPr>
            </w:pPr>
            <w:r>
              <w:rPr>
                <w:color w:val="auto"/>
                <w:sz w:val="24"/>
              </w:rPr>
              <w:t>16.1</w:t>
            </w:r>
            <w:r>
              <w:rPr>
                <w:rFonts w:hint="eastAsia"/>
                <w:color w:val="auto"/>
                <w:sz w:val="24"/>
              </w:rPr>
              <w:t>主板上配置</w:t>
            </w:r>
            <w:r>
              <w:rPr>
                <w:color w:val="auto"/>
                <w:sz w:val="24"/>
              </w:rPr>
              <w:t>850/900/1800/1900MHz</w:t>
            </w:r>
            <w:r>
              <w:rPr>
                <w:rFonts w:hint="eastAsia"/>
                <w:color w:val="auto"/>
                <w:sz w:val="24"/>
              </w:rPr>
              <w:t>四频数据通信模块。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5"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b/>
                <w:color w:val="auto"/>
                <w:sz w:val="24"/>
              </w:rPr>
            </w:pPr>
          </w:p>
        </w:tc>
        <w:tc>
          <w:tcPr>
            <w:tcW w:w="7905" w:type="dxa"/>
            <w:vAlign w:val="center"/>
          </w:tcPr>
          <w:p>
            <w:pPr>
              <w:jc w:val="left"/>
              <w:rPr>
                <w:color w:val="auto"/>
                <w:sz w:val="24"/>
              </w:rPr>
            </w:pPr>
            <w:r>
              <w:rPr>
                <w:color w:val="auto"/>
                <w:sz w:val="24"/>
              </w:rPr>
              <w:t>16.2</w:t>
            </w:r>
            <w:r>
              <w:rPr>
                <w:rFonts w:hint="eastAsia"/>
                <w:color w:val="auto"/>
                <w:sz w:val="24"/>
              </w:rPr>
              <w:t>提供远程云监测服务，开通云监测服务后，数据通信模块将暂存柜系统的各项参数发送到专有云服务平台，云监测系统</w:t>
            </w:r>
            <w:r>
              <w:rPr>
                <w:color w:val="auto"/>
                <w:sz w:val="24"/>
              </w:rPr>
              <w:t>24</w:t>
            </w:r>
            <w:r>
              <w:rPr>
                <w:rFonts w:hint="eastAsia"/>
                <w:color w:val="auto"/>
                <w:sz w:val="24"/>
              </w:rPr>
              <w:t>小时远程监测暂存柜系统的各项参数指标，当达到设定值时，云监测系统会自动发送短信通知提醒客户注意，更当温度或者可燃气体浓度超过设定安全值时，控制系统还会通过语音电话等方式向用户发送警报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blHeader/>
        </w:trPr>
        <w:tc>
          <w:tcPr>
            <w:tcW w:w="698" w:type="dxa"/>
            <w:vMerge w:val="restart"/>
            <w:shd w:val="clear" w:color="auto" w:fill="B8CCE4"/>
            <w:vAlign w:val="center"/>
          </w:tcPr>
          <w:p>
            <w:pPr>
              <w:pStyle w:val="129"/>
              <w:numPr>
                <w:ilvl w:val="0"/>
                <w:numId w:val="63"/>
              </w:numPr>
              <w:spacing w:line="360" w:lineRule="auto"/>
              <w:ind w:firstLineChars="0"/>
              <w:jc w:val="center"/>
              <w:rPr>
                <w:color w:val="auto"/>
              </w:rPr>
            </w:pPr>
          </w:p>
        </w:tc>
        <w:tc>
          <w:tcPr>
            <w:tcW w:w="1377" w:type="dxa"/>
            <w:vMerge w:val="restart"/>
            <w:vAlign w:val="center"/>
          </w:tcPr>
          <w:p>
            <w:pPr>
              <w:spacing w:line="360" w:lineRule="auto"/>
              <w:jc w:val="center"/>
              <w:rPr>
                <w:color w:val="auto"/>
                <w:sz w:val="24"/>
              </w:rPr>
            </w:pPr>
            <w:r>
              <w:rPr>
                <w:rStyle w:val="40"/>
                <w:rFonts w:hint="eastAsia" w:ascii="新宋体" w:hAnsi="新宋体" w:eastAsia="新宋体"/>
                <w:color w:val="auto"/>
                <w:sz w:val="24"/>
              </w:rPr>
              <w:t>云端后台管理系统</w:t>
            </w:r>
          </w:p>
        </w:tc>
        <w:tc>
          <w:tcPr>
            <w:tcW w:w="7905" w:type="dxa"/>
            <w:vAlign w:val="center"/>
          </w:tcPr>
          <w:p>
            <w:pPr>
              <w:jc w:val="left"/>
              <w:rPr>
                <w:color w:val="auto"/>
                <w:sz w:val="24"/>
              </w:rPr>
            </w:pPr>
            <w:r>
              <w:rPr>
                <w:color w:val="auto"/>
                <w:sz w:val="24"/>
              </w:rPr>
              <w:t>17.1</w:t>
            </w:r>
            <w:r>
              <w:rPr>
                <w:rFonts w:hint="eastAsia"/>
                <w:color w:val="auto"/>
                <w:sz w:val="24"/>
              </w:rPr>
              <w:t>用户可通过</w:t>
            </w:r>
            <w:r>
              <w:rPr>
                <w:color w:val="auto"/>
                <w:sz w:val="24"/>
              </w:rPr>
              <w:t>PC</w:t>
            </w:r>
            <w:r>
              <w:rPr>
                <w:rFonts w:hint="eastAsia"/>
                <w:color w:val="auto"/>
                <w:sz w:val="24"/>
              </w:rPr>
              <w:t>或移动设备登陆云端后台管理系统，对实验室废弃物暂存柜系统内各电气设备进行远程设置（开启或关闭）、运行操作（各电器设备阈值设置）和远程管理等。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2"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rStyle w:val="40"/>
                <w:rFonts w:ascii="新宋体" w:hAnsi="新宋体" w:eastAsia="新宋体"/>
                <w:color w:val="auto"/>
                <w:sz w:val="24"/>
              </w:rPr>
            </w:pPr>
          </w:p>
        </w:tc>
        <w:tc>
          <w:tcPr>
            <w:tcW w:w="7905" w:type="dxa"/>
            <w:vAlign w:val="center"/>
          </w:tcPr>
          <w:p>
            <w:pPr>
              <w:jc w:val="left"/>
              <w:rPr>
                <w:color w:val="auto"/>
                <w:sz w:val="24"/>
              </w:rPr>
            </w:pPr>
            <w:r>
              <w:rPr>
                <w:color w:val="auto"/>
                <w:sz w:val="24"/>
              </w:rPr>
              <w:t>17.2</w:t>
            </w:r>
            <w:r>
              <w:rPr>
                <w:rFonts w:hint="eastAsia"/>
                <w:color w:val="auto"/>
                <w:sz w:val="24"/>
              </w:rPr>
              <w:t>生产厂家也可通过云端后台管理系统，对出厂的每套设备提供远程在线维护及售后检修。</w:t>
            </w:r>
          </w:p>
          <w:p>
            <w:pPr>
              <w:jc w:val="left"/>
              <w:rPr>
                <w:rFonts w:ascii="宋体"/>
                <w:b/>
                <w:color w:val="auto"/>
                <w:sz w:val="24"/>
              </w:rPr>
            </w:pPr>
            <w:r>
              <w:rPr>
                <w:color w:val="auto"/>
                <w:sz w:val="24"/>
              </w:rPr>
              <w:t>17.3</w:t>
            </w:r>
            <w:r>
              <w:rPr>
                <w:rFonts w:hint="eastAsia"/>
                <w:color w:val="auto"/>
                <w:sz w:val="24"/>
              </w:rPr>
              <w:t>实现了产品“控制管理”和“企业管理”的技术效果。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blHeader/>
        </w:trPr>
        <w:tc>
          <w:tcPr>
            <w:tcW w:w="9980" w:type="dxa"/>
            <w:gridSpan w:val="3"/>
            <w:shd w:val="clear" w:color="auto" w:fill="DBE5F1"/>
            <w:vAlign w:val="center"/>
          </w:tcPr>
          <w:p>
            <w:pPr>
              <w:jc w:val="center"/>
              <w:rPr>
                <w:color w:val="auto"/>
                <w:sz w:val="24"/>
              </w:rPr>
            </w:pPr>
            <w:r>
              <w:rPr>
                <w:rFonts w:hint="eastAsia"/>
                <w:b/>
                <w:color w:val="auto"/>
                <w:sz w:val="32"/>
              </w:rPr>
              <w:t>（三）、基础设施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2" w:hRule="atLeast"/>
          <w:tblHeader/>
        </w:trPr>
        <w:tc>
          <w:tcPr>
            <w:tcW w:w="698" w:type="dxa"/>
            <w:vMerge w:val="restart"/>
            <w:shd w:val="clear" w:color="auto" w:fill="B8CCE4"/>
            <w:vAlign w:val="center"/>
          </w:tcPr>
          <w:p>
            <w:pPr>
              <w:pStyle w:val="129"/>
              <w:numPr>
                <w:ilvl w:val="0"/>
                <w:numId w:val="63"/>
              </w:numPr>
              <w:spacing w:line="360" w:lineRule="auto"/>
              <w:ind w:firstLineChars="0"/>
              <w:jc w:val="center"/>
              <w:rPr>
                <w:color w:val="auto"/>
              </w:rPr>
            </w:pPr>
          </w:p>
        </w:tc>
        <w:tc>
          <w:tcPr>
            <w:tcW w:w="1377" w:type="dxa"/>
            <w:vMerge w:val="restart"/>
            <w:vAlign w:val="center"/>
          </w:tcPr>
          <w:p>
            <w:pPr>
              <w:spacing w:line="360" w:lineRule="auto"/>
              <w:jc w:val="center"/>
              <w:rPr>
                <w:b/>
                <w:color w:val="auto"/>
                <w:sz w:val="24"/>
              </w:rPr>
            </w:pPr>
            <w:r>
              <w:rPr>
                <w:rFonts w:hint="eastAsia"/>
                <w:b/>
                <w:color w:val="auto"/>
                <w:sz w:val="24"/>
              </w:rPr>
              <w:t>基座建设</w:t>
            </w:r>
          </w:p>
        </w:tc>
        <w:tc>
          <w:tcPr>
            <w:tcW w:w="7905" w:type="dxa"/>
            <w:vAlign w:val="center"/>
          </w:tcPr>
          <w:p>
            <w:pPr>
              <w:jc w:val="left"/>
              <w:rPr>
                <w:color w:val="auto"/>
                <w:sz w:val="24"/>
              </w:rPr>
            </w:pPr>
            <w:r>
              <w:rPr>
                <w:color w:val="auto"/>
                <w:sz w:val="24"/>
              </w:rPr>
              <w:t>18.1</w:t>
            </w:r>
            <w:r>
              <w:rPr>
                <w:rFonts w:hint="eastAsia"/>
                <w:color w:val="auto"/>
                <w:sz w:val="24"/>
              </w:rPr>
              <w:t>提供地坪等配套基础设施相关必要图纸和技术指导保证地坪建设符合暂存柜稳固、供水供电、导流、储存漏液、接地等要求。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blHeader/>
        </w:trPr>
        <w:tc>
          <w:tcPr>
            <w:tcW w:w="698" w:type="dxa"/>
            <w:vMerge w:val="continue"/>
            <w:shd w:val="clear" w:color="auto" w:fill="B8CCE4"/>
            <w:vAlign w:val="center"/>
          </w:tcPr>
          <w:p>
            <w:pPr>
              <w:pStyle w:val="129"/>
              <w:numPr>
                <w:ilvl w:val="0"/>
                <w:numId w:val="63"/>
              </w:numPr>
              <w:spacing w:line="360" w:lineRule="auto"/>
              <w:ind w:firstLineChars="0"/>
              <w:jc w:val="center"/>
              <w:rPr>
                <w:color w:val="auto"/>
              </w:rPr>
            </w:pPr>
          </w:p>
        </w:tc>
        <w:tc>
          <w:tcPr>
            <w:tcW w:w="1377" w:type="dxa"/>
            <w:vMerge w:val="continue"/>
            <w:vAlign w:val="center"/>
          </w:tcPr>
          <w:p>
            <w:pPr>
              <w:spacing w:line="360" w:lineRule="auto"/>
              <w:jc w:val="center"/>
              <w:rPr>
                <w:b/>
                <w:color w:val="auto"/>
                <w:sz w:val="24"/>
              </w:rPr>
            </w:pPr>
          </w:p>
        </w:tc>
        <w:tc>
          <w:tcPr>
            <w:tcW w:w="7905" w:type="dxa"/>
            <w:vAlign w:val="center"/>
          </w:tcPr>
          <w:p>
            <w:pPr>
              <w:jc w:val="left"/>
              <w:rPr>
                <w:color w:val="auto"/>
                <w:sz w:val="24"/>
              </w:rPr>
            </w:pPr>
            <w:r>
              <w:rPr>
                <w:rFonts w:hint="eastAsia"/>
                <w:color w:val="auto"/>
                <w:sz w:val="24"/>
              </w:rPr>
              <w:t>采用钢筋混凝土抬高</w:t>
            </w:r>
            <w:r>
              <w:rPr>
                <w:color w:val="auto"/>
                <w:sz w:val="24"/>
              </w:rPr>
              <w:t>20CM</w:t>
            </w:r>
            <w:r>
              <w:rPr>
                <w:rFonts w:hint="eastAsia"/>
                <w:color w:val="auto"/>
                <w:sz w:val="24"/>
              </w:rPr>
              <w:t>，尺寸大于柜体长宽各约</w:t>
            </w:r>
            <w:r>
              <w:rPr>
                <w:color w:val="auto"/>
                <w:sz w:val="24"/>
              </w:rPr>
              <w:t>1M</w:t>
            </w:r>
            <w:r>
              <w:rPr>
                <w:rFonts w:hint="eastAsia"/>
                <w:color w:val="auto"/>
                <w:sz w:val="24"/>
              </w:rPr>
              <w:t>，地下预埋</w:t>
            </w:r>
            <w:r>
              <w:rPr>
                <w:color w:val="auto"/>
                <w:sz w:val="24"/>
              </w:rPr>
              <w:t>6</w:t>
            </w:r>
            <w:r>
              <w:rPr>
                <w:rFonts w:hint="eastAsia"/>
                <w:color w:val="auto"/>
                <w:sz w:val="24"/>
              </w:rPr>
              <w:t>分上水管及</w:t>
            </w:r>
            <w:r>
              <w:rPr>
                <w:color w:val="auto"/>
                <w:sz w:val="24"/>
              </w:rPr>
              <w:t>10KW</w:t>
            </w:r>
            <w:r>
              <w:rPr>
                <w:rFonts w:hint="eastAsia"/>
                <w:color w:val="auto"/>
                <w:sz w:val="24"/>
              </w:rPr>
              <w:t>以上、线径</w:t>
            </w:r>
            <w:r>
              <w:rPr>
                <w:color w:val="auto"/>
                <w:sz w:val="24"/>
              </w:rPr>
              <w:t>6</w:t>
            </w:r>
            <w:r>
              <w:rPr>
                <w:rFonts w:hint="eastAsia"/>
                <w:color w:val="auto"/>
                <w:sz w:val="24"/>
              </w:rPr>
              <w:t>平方电缆线，备留</w:t>
            </w:r>
            <w:r>
              <w:rPr>
                <w:color w:val="auto"/>
                <w:sz w:val="24"/>
              </w:rPr>
              <w:t>1</w:t>
            </w:r>
            <w:r>
              <w:rPr>
                <w:rFonts w:hint="eastAsia"/>
                <w:color w:val="auto"/>
                <w:sz w:val="24"/>
              </w:rPr>
              <w:t>个废液坑，用于存放</w:t>
            </w:r>
            <w:r>
              <w:rPr>
                <w:color w:val="auto"/>
                <w:sz w:val="24"/>
              </w:rPr>
              <w:t>1</w:t>
            </w:r>
            <w:r>
              <w:rPr>
                <w:rFonts w:hint="eastAsia"/>
                <w:color w:val="auto"/>
                <w:sz w:val="24"/>
              </w:rPr>
              <w:t>个耐酸碱腐蚀</w:t>
            </w:r>
            <w:r>
              <w:rPr>
                <w:color w:val="auto"/>
                <w:sz w:val="24"/>
              </w:rPr>
              <w:t>PP</w:t>
            </w:r>
            <w:r>
              <w:rPr>
                <w:rFonts w:hint="eastAsia"/>
                <w:color w:val="auto"/>
                <w:sz w:val="24"/>
              </w:rPr>
              <w:t>材质废液收集桶；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blHeader/>
        </w:trPr>
        <w:tc>
          <w:tcPr>
            <w:tcW w:w="698" w:type="dxa"/>
            <w:shd w:val="clear" w:color="auto" w:fill="B8CCE4"/>
            <w:vAlign w:val="center"/>
          </w:tcPr>
          <w:p>
            <w:pPr>
              <w:pStyle w:val="129"/>
              <w:numPr>
                <w:ilvl w:val="0"/>
                <w:numId w:val="63"/>
              </w:numPr>
              <w:spacing w:line="360" w:lineRule="auto"/>
              <w:ind w:firstLineChars="0"/>
              <w:jc w:val="center"/>
              <w:rPr>
                <w:color w:val="auto"/>
              </w:rPr>
            </w:pPr>
          </w:p>
        </w:tc>
        <w:tc>
          <w:tcPr>
            <w:tcW w:w="1377" w:type="dxa"/>
            <w:vAlign w:val="center"/>
          </w:tcPr>
          <w:p>
            <w:pPr>
              <w:spacing w:line="360" w:lineRule="auto"/>
              <w:jc w:val="center"/>
              <w:rPr>
                <w:b/>
                <w:color w:val="auto"/>
                <w:sz w:val="24"/>
              </w:rPr>
            </w:pPr>
            <w:r>
              <w:rPr>
                <w:rFonts w:hint="eastAsia"/>
                <w:b/>
                <w:color w:val="auto"/>
                <w:sz w:val="24"/>
              </w:rPr>
              <w:t>顶棚</w:t>
            </w:r>
          </w:p>
        </w:tc>
        <w:tc>
          <w:tcPr>
            <w:tcW w:w="7905" w:type="dxa"/>
            <w:vAlign w:val="center"/>
          </w:tcPr>
          <w:p>
            <w:pPr>
              <w:jc w:val="left"/>
              <w:rPr>
                <w:color w:val="auto"/>
                <w:sz w:val="24"/>
              </w:rPr>
            </w:pPr>
            <w:r>
              <w:rPr>
                <w:color w:val="auto"/>
                <w:sz w:val="24"/>
              </w:rPr>
              <w:t>19.1</w:t>
            </w:r>
            <w:r>
              <w:rPr>
                <w:rFonts w:hint="eastAsia"/>
                <w:color w:val="auto"/>
                <w:sz w:val="24"/>
              </w:rPr>
              <w:t>采用不锈钢立柱，离地高度</w:t>
            </w:r>
            <w:r>
              <w:rPr>
                <w:color w:val="auto"/>
                <w:sz w:val="24"/>
              </w:rPr>
              <w:t>&gt;4.5m,</w:t>
            </w:r>
            <w:r>
              <w:rPr>
                <w:rFonts w:hint="eastAsia"/>
                <w:color w:val="auto"/>
                <w:sz w:val="24"/>
              </w:rPr>
              <w:t>棚顶为镀锌彩钢板双向斜面设计，便于排水；其投影与基座一致；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8" w:hRule="atLeast"/>
          <w:tblHeader/>
        </w:trPr>
        <w:tc>
          <w:tcPr>
            <w:tcW w:w="698" w:type="dxa"/>
            <w:shd w:val="clear" w:color="auto" w:fill="B8CCE4"/>
            <w:vAlign w:val="center"/>
          </w:tcPr>
          <w:p>
            <w:pPr>
              <w:pStyle w:val="129"/>
              <w:numPr>
                <w:ilvl w:val="0"/>
                <w:numId w:val="63"/>
              </w:numPr>
              <w:spacing w:line="360" w:lineRule="auto"/>
              <w:ind w:firstLineChars="0"/>
              <w:jc w:val="center"/>
              <w:rPr>
                <w:color w:val="auto"/>
              </w:rPr>
            </w:pPr>
          </w:p>
        </w:tc>
        <w:tc>
          <w:tcPr>
            <w:tcW w:w="1377" w:type="dxa"/>
            <w:vAlign w:val="center"/>
          </w:tcPr>
          <w:p>
            <w:pPr>
              <w:spacing w:line="360" w:lineRule="auto"/>
              <w:jc w:val="center"/>
              <w:rPr>
                <w:b/>
                <w:color w:val="auto"/>
                <w:sz w:val="24"/>
              </w:rPr>
            </w:pPr>
            <w:r>
              <w:rPr>
                <w:rFonts w:hint="eastAsia"/>
                <w:b/>
                <w:color w:val="auto"/>
                <w:sz w:val="24"/>
              </w:rPr>
              <w:t>安全护栏</w:t>
            </w:r>
          </w:p>
        </w:tc>
        <w:tc>
          <w:tcPr>
            <w:tcW w:w="7905" w:type="dxa"/>
            <w:vAlign w:val="center"/>
          </w:tcPr>
          <w:p>
            <w:pPr>
              <w:jc w:val="left"/>
              <w:rPr>
                <w:color w:val="auto"/>
                <w:sz w:val="24"/>
              </w:rPr>
            </w:pPr>
            <w:r>
              <w:rPr>
                <w:color w:val="auto"/>
                <w:sz w:val="24"/>
              </w:rPr>
              <w:t>20.1</w:t>
            </w:r>
            <w:r>
              <w:rPr>
                <w:rFonts w:hint="eastAsia"/>
                <w:color w:val="auto"/>
                <w:sz w:val="24"/>
              </w:rPr>
              <w:t>围栏高度</w:t>
            </w:r>
            <w:r>
              <w:rPr>
                <w:color w:val="auto"/>
                <w:sz w:val="24"/>
              </w:rPr>
              <w:t>&gt;1.8m</w:t>
            </w:r>
            <w:r>
              <w:rPr>
                <w:rFonts w:hint="eastAsia"/>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tblHeader/>
        </w:trPr>
        <w:tc>
          <w:tcPr>
            <w:tcW w:w="698" w:type="dxa"/>
            <w:shd w:val="clear" w:color="auto" w:fill="B8CCE4"/>
            <w:vAlign w:val="center"/>
          </w:tcPr>
          <w:p>
            <w:pPr>
              <w:pStyle w:val="129"/>
              <w:numPr>
                <w:ilvl w:val="0"/>
                <w:numId w:val="63"/>
              </w:numPr>
              <w:spacing w:line="360" w:lineRule="auto"/>
              <w:ind w:firstLineChars="0"/>
              <w:jc w:val="center"/>
              <w:rPr>
                <w:color w:val="auto"/>
              </w:rPr>
            </w:pPr>
          </w:p>
        </w:tc>
        <w:tc>
          <w:tcPr>
            <w:tcW w:w="1377" w:type="dxa"/>
            <w:vAlign w:val="center"/>
          </w:tcPr>
          <w:p>
            <w:pPr>
              <w:spacing w:line="360" w:lineRule="auto"/>
              <w:jc w:val="center"/>
              <w:rPr>
                <w:color w:val="auto"/>
                <w:sz w:val="24"/>
              </w:rPr>
            </w:pPr>
            <w:r>
              <w:rPr>
                <w:rFonts w:hint="eastAsia"/>
                <w:b/>
                <w:color w:val="auto"/>
                <w:sz w:val="24"/>
              </w:rPr>
              <w:t>个人安全防护紧急冲淋系统</w:t>
            </w:r>
          </w:p>
        </w:tc>
        <w:tc>
          <w:tcPr>
            <w:tcW w:w="7905" w:type="dxa"/>
            <w:vAlign w:val="center"/>
          </w:tcPr>
          <w:p>
            <w:pPr>
              <w:rPr>
                <w:color w:val="auto"/>
                <w:sz w:val="24"/>
              </w:rPr>
            </w:pPr>
            <w:r>
              <w:rPr>
                <w:color w:val="auto"/>
                <w:sz w:val="24"/>
              </w:rPr>
              <w:t>21.1</w:t>
            </w:r>
            <w:r>
              <w:rPr>
                <w:rFonts w:hint="eastAsia"/>
                <w:color w:val="auto"/>
                <w:sz w:val="24"/>
              </w:rPr>
              <w:t>柜外配有紧急洗眼冲淋器，全不锈钢组合式，离柜门外一边</w:t>
            </w:r>
            <w:r>
              <w:rPr>
                <w:color w:val="auto"/>
                <w:sz w:val="24"/>
              </w:rPr>
              <w:t>1.5m</w:t>
            </w:r>
            <w:r>
              <w:rPr>
                <w:rFonts w:hint="eastAsia"/>
                <w:color w:val="auto"/>
                <w:sz w:val="24"/>
              </w:rPr>
              <w:t>处，</w:t>
            </w:r>
            <w:r>
              <w:rPr>
                <w:color w:val="auto"/>
                <w:sz w:val="24"/>
              </w:rPr>
              <w:t>10S</w:t>
            </w:r>
            <w:r>
              <w:rPr>
                <w:rFonts w:hint="eastAsia"/>
                <w:color w:val="auto"/>
                <w:sz w:val="24"/>
              </w:rPr>
              <w:t>内到达处安装；需持续稳定水</w:t>
            </w:r>
            <w:r>
              <w:rPr>
                <w:color w:val="auto"/>
                <w:sz w:val="24"/>
              </w:rPr>
              <w:t xml:space="preserve">15min </w:t>
            </w:r>
            <w:r>
              <w:rPr>
                <w:rFonts w:hint="eastAsia"/>
                <w:color w:val="auto"/>
                <w:sz w:val="24"/>
              </w:rPr>
              <w:t>以上，</w:t>
            </w:r>
            <w:r>
              <w:rPr>
                <w:color w:val="auto"/>
                <w:sz w:val="24"/>
              </w:rPr>
              <w:t xml:space="preserve">35L/min </w:t>
            </w:r>
            <w:r>
              <w:rPr>
                <w:rFonts w:hint="eastAsia"/>
                <w:color w:val="auto"/>
                <w:sz w:val="24"/>
              </w:rPr>
              <w:t>水量，</w:t>
            </w:r>
            <w:r>
              <w:rPr>
                <w:color w:val="auto"/>
                <w:sz w:val="24"/>
              </w:rPr>
              <w:t>1</w:t>
            </w:r>
            <w:r>
              <w:rPr>
                <w:rFonts w:hint="eastAsia"/>
                <w:color w:val="auto"/>
                <w:sz w:val="24"/>
              </w:rPr>
              <w:t>秒迅速无障碍开启。</w:t>
            </w:r>
          </w:p>
          <w:p>
            <w:pPr>
              <w:rPr>
                <w:color w:val="auto"/>
                <w:sz w:val="24"/>
              </w:rPr>
            </w:pPr>
            <w:r>
              <w:rPr>
                <w:rFonts w:hint="eastAsia"/>
                <w:color w:val="auto"/>
                <w:sz w:val="24"/>
              </w:rPr>
              <w:t>为了更直观了解设计工艺，提供用户现场实景照片。</w:t>
            </w:r>
          </w:p>
        </w:tc>
      </w:tr>
    </w:tbl>
    <w:p>
      <w:pPr>
        <w:ind w:firstLine="420" w:firstLineChars="200"/>
        <w:rPr>
          <w:rFonts w:ascii="宋体" w:hAnsi="宋体" w:cs="仿宋"/>
          <w:color w:val="auto"/>
        </w:rPr>
      </w:pPr>
    </w:p>
    <w:p>
      <w:pPr>
        <w:ind w:firstLine="420" w:firstLineChars="200"/>
        <w:rPr>
          <w:rFonts w:ascii="宋体" w:hAnsi="宋体" w:cs="仿宋"/>
          <w:color w:val="auto"/>
        </w:rPr>
      </w:pPr>
    </w:p>
    <w:p>
      <w:pPr>
        <w:ind w:firstLine="420" w:firstLineChars="200"/>
        <w:rPr>
          <w:rFonts w:ascii="宋体" w:hAnsi="宋体" w:cs="仿宋"/>
          <w:color w:val="auto"/>
        </w:rPr>
      </w:pPr>
    </w:p>
    <w:p>
      <w:pPr>
        <w:ind w:firstLine="420" w:firstLineChars="200"/>
        <w:rPr>
          <w:rFonts w:ascii="宋体" w:hAnsi="宋体" w:cs="仿宋"/>
          <w:color w:val="auto"/>
        </w:rPr>
      </w:pPr>
    </w:p>
    <w:p>
      <w:pPr>
        <w:ind w:firstLine="420" w:firstLineChars="200"/>
        <w:rPr>
          <w:rFonts w:ascii="宋体" w:hAnsi="宋体" w:cs="仿宋"/>
          <w:color w:val="auto"/>
        </w:rPr>
        <w:sectPr>
          <w:headerReference r:id="rId11" w:type="default"/>
          <w:footerReference r:id="rId12" w:type="default"/>
          <w:pgSz w:w="11907" w:h="16840"/>
          <w:pgMar w:top="907" w:right="1588" w:bottom="1219" w:left="1588" w:header="567" w:footer="454" w:gutter="0"/>
          <w:cols w:space="720" w:num="1"/>
          <w:docGrid w:linePitch="312" w:charSpace="0"/>
        </w:sectPr>
      </w:pPr>
    </w:p>
    <w:p>
      <w:pPr>
        <w:pStyle w:val="127"/>
        <w:spacing w:line="433" w:lineRule="exact"/>
        <w:ind w:left="2813" w:right="-218" w:rightChars="-104"/>
        <w:jc w:val="left"/>
        <w:rPr>
          <w:color w:val="auto"/>
        </w:rPr>
      </w:pPr>
      <w:r>
        <w:rPr>
          <w:color w:val="auto"/>
        </w:rPr>
        <w:t>第五章投标文件格式</w:t>
      </w:r>
    </w:p>
    <w:p>
      <w:pPr>
        <w:pStyle w:val="18"/>
        <w:spacing w:before="142" w:line="276" w:lineRule="auto"/>
        <w:ind w:left="108" w:right="-218" w:rightChars="-104" w:firstLine="420"/>
        <w:rPr>
          <w:color w:val="auto"/>
        </w:rPr>
      </w:pPr>
      <w:r>
        <w:rPr>
          <w:color w:val="auto"/>
          <w:spacing w:val="-6"/>
        </w:rPr>
        <w:t>投标人必须按以下顺序及格式编制、装订投标文件，并在文件中附有目录及页码，</w:t>
      </w:r>
      <w:r>
        <w:rPr>
          <w:color w:val="auto"/>
          <w:spacing w:val="2"/>
        </w:rPr>
        <w:t>授权函、货物样本资料按包装订并说明包号、品目号、序号，以便招标人查阅及评标专家评审。由于未按以上要求装订的投标人，造成评标委员会不能正常评审，评</w:t>
      </w:r>
      <w:r>
        <w:rPr>
          <w:color w:val="auto"/>
        </w:rPr>
        <w:t>委有权将其废标。</w:t>
      </w:r>
    </w:p>
    <w:p>
      <w:pPr>
        <w:pStyle w:val="18"/>
        <w:spacing w:before="10" w:line="276" w:lineRule="auto"/>
        <w:ind w:left="108" w:right="-218" w:rightChars="-104" w:firstLine="420"/>
        <w:rPr>
          <w:color w:val="auto"/>
        </w:rPr>
      </w:pPr>
      <w:r>
        <w:rPr>
          <w:color w:val="auto"/>
          <w:spacing w:val="-3"/>
        </w:rPr>
        <w:t>除了招标文件已经有要求的条款外，投标人必须提供以下带</w:t>
      </w:r>
      <w:r>
        <w:rPr>
          <w:color w:val="auto"/>
          <w:spacing w:val="-3"/>
          <w:sz w:val="36"/>
          <w:szCs w:val="36"/>
        </w:rPr>
        <w:t>“</w:t>
      </w:r>
      <w:r>
        <w:rPr>
          <w:rFonts w:hint="eastAsia" w:ascii="腾祥潮黑简" w:hAnsi="腾祥潮黑简" w:eastAsia="腾祥潮黑简" w:cs="腾祥潮黑简"/>
          <w:b/>
          <w:bCs/>
          <w:color w:val="auto"/>
          <w:spacing w:val="-3"/>
          <w:sz w:val="36"/>
          <w:szCs w:val="36"/>
        </w:rPr>
        <w:t>*</w:t>
      </w:r>
      <w:r>
        <w:rPr>
          <w:color w:val="auto"/>
          <w:spacing w:val="-3"/>
          <w:sz w:val="36"/>
          <w:szCs w:val="36"/>
        </w:rPr>
        <w:t>”</w:t>
      </w:r>
      <w:r>
        <w:rPr>
          <w:color w:val="auto"/>
          <w:spacing w:val="-3"/>
        </w:rPr>
        <w:t>号的条款内容，</w:t>
      </w:r>
      <w:r>
        <w:rPr>
          <w:color w:val="auto"/>
        </w:rPr>
        <w:t>否则招标人拒绝其投标。除注明可用复印件的外，其余的</w:t>
      </w:r>
      <w:r>
        <w:rPr>
          <w:b/>
          <w:bCs/>
          <w:color w:val="auto"/>
          <w:u w:val="single"/>
        </w:rPr>
        <w:t>必须提供原件</w:t>
      </w:r>
      <w:r>
        <w:rPr>
          <w:color w:val="auto"/>
        </w:rPr>
        <w:t>。</w:t>
      </w:r>
    </w:p>
    <w:p>
      <w:pPr>
        <w:pStyle w:val="18"/>
        <w:spacing w:before="3"/>
        <w:ind w:right="-218" w:rightChars="-104"/>
        <w:rPr>
          <w:color w:val="auto"/>
          <w:sz w:val="19"/>
        </w:rPr>
      </w:pPr>
    </w:p>
    <w:p>
      <w:pPr>
        <w:pStyle w:val="128"/>
        <w:ind w:left="108" w:right="-218" w:rightChars="-104"/>
        <w:rPr>
          <w:color w:val="auto"/>
        </w:rPr>
      </w:pPr>
      <w:r>
        <w:rPr>
          <w:color w:val="auto"/>
        </w:rPr>
        <w:t>一、投标报价文件</w:t>
      </w:r>
    </w:p>
    <w:p>
      <w:pPr>
        <w:pStyle w:val="18"/>
        <w:spacing w:before="37" w:line="240" w:lineRule="auto"/>
        <w:ind w:left="108" w:right="-218" w:rightChars="-104" w:firstLine="770" w:firstLineChars="321"/>
        <w:rPr>
          <w:color w:val="auto"/>
        </w:rPr>
      </w:pPr>
      <w:r>
        <w:rPr>
          <w:color w:val="auto"/>
        </w:rPr>
        <w:t>1.</w:t>
      </w:r>
      <w:r>
        <w:rPr>
          <w:b/>
          <w:bCs/>
          <w:color w:val="auto"/>
          <w:sz w:val="30"/>
          <w:szCs w:val="30"/>
        </w:rPr>
        <w:t>*</w:t>
      </w:r>
      <w:r>
        <w:rPr>
          <w:color w:val="auto"/>
        </w:rPr>
        <w:t>投标声明</w:t>
      </w:r>
    </w:p>
    <w:p>
      <w:pPr>
        <w:pStyle w:val="18"/>
        <w:spacing w:before="46" w:line="240" w:lineRule="auto"/>
        <w:ind w:left="108" w:right="-218" w:rightChars="-104" w:firstLine="770" w:firstLineChars="321"/>
        <w:rPr>
          <w:color w:val="auto"/>
        </w:rPr>
      </w:pPr>
      <w:r>
        <w:rPr>
          <w:color w:val="auto"/>
        </w:rPr>
        <w:t>2.</w:t>
      </w:r>
      <w:r>
        <w:rPr>
          <w:b/>
          <w:bCs/>
          <w:color w:val="auto"/>
          <w:sz w:val="30"/>
          <w:szCs w:val="30"/>
        </w:rPr>
        <w:t>*</w:t>
      </w:r>
      <w:r>
        <w:rPr>
          <w:color w:val="auto"/>
        </w:rPr>
        <w:t>开标一览表</w:t>
      </w:r>
    </w:p>
    <w:p>
      <w:pPr>
        <w:pStyle w:val="18"/>
        <w:spacing w:before="46" w:line="240" w:lineRule="auto"/>
        <w:ind w:left="108" w:right="-218" w:rightChars="-104" w:firstLine="770" w:firstLineChars="321"/>
        <w:rPr>
          <w:color w:val="auto"/>
        </w:rPr>
      </w:pPr>
      <w:r>
        <w:rPr>
          <w:color w:val="auto"/>
        </w:rPr>
        <w:t>3.</w:t>
      </w:r>
      <w:r>
        <w:rPr>
          <w:rFonts w:hint="eastAsia"/>
          <w:b/>
          <w:bCs/>
          <w:color w:val="auto"/>
          <w:sz w:val="30"/>
          <w:szCs w:val="30"/>
        </w:rPr>
        <w:t>*</w:t>
      </w:r>
      <w:r>
        <w:rPr>
          <w:color w:val="auto"/>
        </w:rPr>
        <w:t>投标货物报价详细说明表</w:t>
      </w:r>
    </w:p>
    <w:p>
      <w:pPr>
        <w:pStyle w:val="18"/>
        <w:spacing w:before="13" w:line="240" w:lineRule="auto"/>
        <w:ind w:right="-218" w:rightChars="-104"/>
        <w:rPr>
          <w:color w:val="auto"/>
          <w:sz w:val="21"/>
        </w:rPr>
      </w:pPr>
    </w:p>
    <w:p>
      <w:pPr>
        <w:pStyle w:val="18"/>
        <w:numPr>
          <w:ilvl w:val="0"/>
          <w:numId w:val="64"/>
        </w:numPr>
        <w:spacing w:line="240" w:lineRule="auto"/>
        <w:ind w:left="108" w:right="-218" w:rightChars="-104"/>
        <w:rPr>
          <w:color w:val="auto"/>
        </w:rPr>
      </w:pPr>
      <w:r>
        <w:rPr>
          <w:b/>
          <w:color w:val="auto"/>
          <w:sz w:val="30"/>
        </w:rPr>
        <w:t>商务响应文件</w:t>
      </w:r>
      <w:r>
        <w:rPr>
          <w:color w:val="auto"/>
        </w:rPr>
        <w:t>(三证合一或两证合一者依新规提供相关证明文件)</w:t>
      </w:r>
    </w:p>
    <w:p>
      <w:pPr>
        <w:pStyle w:val="18"/>
        <w:spacing w:line="240" w:lineRule="auto"/>
        <w:ind w:left="1279" w:leftChars="400" w:right="-218" w:rightChars="-104" w:hanging="439" w:hangingChars="183"/>
        <w:rPr>
          <w:color w:val="auto"/>
        </w:rPr>
      </w:pPr>
      <w:r>
        <w:rPr>
          <w:color w:val="auto"/>
        </w:rPr>
        <w:t>1.</w:t>
      </w:r>
      <w:r>
        <w:rPr>
          <w:b/>
          <w:bCs/>
          <w:color w:val="auto"/>
          <w:sz w:val="30"/>
          <w:szCs w:val="30"/>
        </w:rPr>
        <w:t>*</w:t>
      </w:r>
      <w:r>
        <w:rPr>
          <w:rFonts w:hint="eastAsia"/>
          <w:color w:val="auto"/>
        </w:rPr>
        <w:t>法定代表人</w:t>
      </w:r>
      <w:r>
        <w:rPr>
          <w:color w:val="auto"/>
        </w:rPr>
        <w:t>授权委托书或身份证（经营者自己投标者）</w:t>
      </w:r>
    </w:p>
    <w:p>
      <w:pPr>
        <w:pStyle w:val="18"/>
        <w:spacing w:before="22" w:line="240" w:lineRule="auto"/>
        <w:ind w:left="1279" w:leftChars="400" w:right="-218" w:rightChars="-104" w:hanging="439" w:hangingChars="183"/>
        <w:rPr>
          <w:color w:val="auto"/>
        </w:rPr>
      </w:pPr>
      <w:r>
        <w:rPr>
          <w:color w:val="auto"/>
        </w:rPr>
        <w:t>2.</w:t>
      </w:r>
      <w:r>
        <w:rPr>
          <w:b/>
          <w:bCs/>
          <w:color w:val="auto"/>
          <w:sz w:val="30"/>
          <w:szCs w:val="30"/>
        </w:rPr>
        <w:t>*</w:t>
      </w:r>
      <w:r>
        <w:rPr>
          <w:color w:val="auto"/>
        </w:rPr>
        <w:t>营业执照(副本复印件，加盖单位公章)</w:t>
      </w:r>
    </w:p>
    <w:p>
      <w:pPr>
        <w:pStyle w:val="18"/>
        <w:spacing w:before="46" w:line="240" w:lineRule="auto"/>
        <w:ind w:left="1279" w:leftChars="400" w:right="-218" w:rightChars="-104" w:hanging="439" w:hangingChars="183"/>
        <w:rPr>
          <w:color w:val="auto"/>
        </w:rPr>
      </w:pPr>
      <w:r>
        <w:rPr>
          <w:color w:val="auto"/>
        </w:rPr>
        <w:t>3.投标人基本情况表</w:t>
      </w:r>
    </w:p>
    <w:p>
      <w:pPr>
        <w:pStyle w:val="18"/>
        <w:spacing w:before="46" w:line="240" w:lineRule="auto"/>
        <w:ind w:left="1279" w:leftChars="400" w:right="-218" w:rightChars="-104" w:hanging="439" w:hangingChars="183"/>
        <w:rPr>
          <w:color w:val="auto"/>
        </w:rPr>
      </w:pPr>
      <w:r>
        <w:rPr>
          <w:color w:val="auto"/>
        </w:rPr>
        <w:t>4.</w:t>
      </w:r>
      <w:r>
        <w:rPr>
          <w:b/>
          <w:bCs/>
          <w:color w:val="auto"/>
          <w:sz w:val="30"/>
          <w:szCs w:val="30"/>
        </w:rPr>
        <w:t>*</w:t>
      </w:r>
      <w:r>
        <w:rPr>
          <w:color w:val="auto"/>
        </w:rPr>
        <w:t>参加采购活动前三年内在经营活动中没有重大违法记录的书面声明</w:t>
      </w:r>
    </w:p>
    <w:p>
      <w:pPr>
        <w:pStyle w:val="18"/>
        <w:spacing w:before="46" w:line="240" w:lineRule="auto"/>
        <w:ind w:left="1279" w:leftChars="400" w:right="-218" w:rightChars="-104" w:hanging="439" w:hangingChars="183"/>
        <w:rPr>
          <w:color w:val="auto"/>
        </w:rPr>
      </w:pPr>
      <w:r>
        <w:rPr>
          <w:color w:val="auto"/>
        </w:rPr>
        <w:t>5.</w:t>
      </w:r>
      <w:r>
        <w:rPr>
          <w:b/>
          <w:bCs/>
          <w:color w:val="auto"/>
          <w:sz w:val="30"/>
          <w:szCs w:val="30"/>
        </w:rPr>
        <w:t>*</w:t>
      </w:r>
      <w:r>
        <w:rPr>
          <w:color w:val="auto"/>
        </w:rPr>
        <w:t>投标人</w:t>
      </w:r>
      <w:r>
        <w:rPr>
          <w:rFonts w:hint="eastAsia"/>
          <w:color w:val="auto"/>
        </w:rPr>
        <w:t>近半年连续三个月纳税及</w:t>
      </w:r>
      <w:r>
        <w:rPr>
          <w:color w:val="auto"/>
        </w:rPr>
        <w:t>缴纳社会保险的凭证复印件</w:t>
      </w:r>
    </w:p>
    <w:p>
      <w:pPr>
        <w:pStyle w:val="18"/>
        <w:spacing w:before="46" w:line="240" w:lineRule="auto"/>
        <w:ind w:left="1279" w:leftChars="400" w:right="-218" w:rightChars="-104" w:hanging="439" w:hangingChars="183"/>
        <w:rPr>
          <w:color w:val="auto"/>
        </w:rPr>
      </w:pPr>
      <w:r>
        <w:rPr>
          <w:rFonts w:hint="eastAsia"/>
          <w:color w:val="auto"/>
        </w:rPr>
        <w:t>6.商务条款偏离表</w:t>
      </w:r>
    </w:p>
    <w:p>
      <w:pPr>
        <w:pStyle w:val="18"/>
        <w:spacing w:before="10" w:line="240" w:lineRule="auto"/>
        <w:ind w:left="1275" w:leftChars="400" w:right="-218" w:rightChars="-104" w:hanging="435" w:hangingChars="183"/>
        <w:rPr>
          <w:color w:val="auto"/>
        </w:rPr>
      </w:pPr>
      <w:r>
        <w:rPr>
          <w:rFonts w:hint="eastAsia"/>
          <w:color w:val="auto"/>
          <w:spacing w:val="-1"/>
        </w:rPr>
        <w:t>7</w:t>
      </w:r>
      <w:r>
        <w:rPr>
          <w:color w:val="auto"/>
          <w:spacing w:val="-1"/>
        </w:rPr>
        <w:t>.</w:t>
      </w:r>
      <w:r>
        <w:rPr>
          <w:color w:val="auto"/>
        </w:rPr>
        <w:t>投标人认为有必要提供的其他资料（</w:t>
      </w:r>
      <w:r>
        <w:rPr>
          <w:rFonts w:hint="eastAsia"/>
          <w:color w:val="auto"/>
        </w:rPr>
        <w:t>以上材料</w:t>
      </w:r>
      <w:r>
        <w:rPr>
          <w:color w:val="auto"/>
        </w:rPr>
        <w:t>需加盖企业公章</w:t>
      </w:r>
      <w:r>
        <w:rPr>
          <w:color w:val="auto"/>
          <w:spacing w:val="-120"/>
        </w:rPr>
        <w:t>）</w:t>
      </w:r>
      <w:r>
        <w:rPr>
          <w:color w:val="auto"/>
        </w:rPr>
        <w:t>。</w:t>
      </w:r>
    </w:p>
    <w:p>
      <w:pPr>
        <w:pStyle w:val="18"/>
        <w:spacing w:before="13" w:line="240" w:lineRule="auto"/>
        <w:ind w:right="-218" w:rightChars="-104"/>
        <w:rPr>
          <w:color w:val="auto"/>
          <w:sz w:val="21"/>
        </w:rPr>
      </w:pPr>
    </w:p>
    <w:p>
      <w:pPr>
        <w:pStyle w:val="128"/>
        <w:ind w:left="108" w:right="-218" w:rightChars="-104"/>
        <w:rPr>
          <w:color w:val="auto"/>
        </w:rPr>
      </w:pPr>
      <w:r>
        <w:rPr>
          <w:color w:val="auto"/>
        </w:rPr>
        <w:t>三、技术响应文件</w:t>
      </w:r>
    </w:p>
    <w:p>
      <w:pPr>
        <w:pStyle w:val="18"/>
        <w:spacing w:before="37" w:line="240" w:lineRule="auto"/>
        <w:ind w:left="828" w:right="-218" w:rightChars="-104" w:firstLine="9"/>
        <w:rPr>
          <w:color w:val="auto"/>
        </w:rPr>
      </w:pPr>
      <w:r>
        <w:rPr>
          <w:color w:val="auto"/>
        </w:rPr>
        <w:t>1.投标货物技术偏离表</w:t>
      </w:r>
    </w:p>
    <w:p>
      <w:pPr>
        <w:pStyle w:val="18"/>
        <w:spacing w:before="46" w:line="240" w:lineRule="auto"/>
        <w:ind w:left="828" w:right="-218" w:rightChars="-104" w:firstLine="9"/>
        <w:rPr>
          <w:color w:val="auto"/>
        </w:rPr>
      </w:pPr>
      <w:r>
        <w:rPr>
          <w:color w:val="auto"/>
        </w:rPr>
        <w:t>2.投标货物技术简要说明</w:t>
      </w:r>
    </w:p>
    <w:p>
      <w:pPr>
        <w:pStyle w:val="18"/>
        <w:spacing w:before="46" w:line="240" w:lineRule="auto"/>
        <w:ind w:left="828" w:right="-218" w:rightChars="-104" w:firstLine="9"/>
        <w:rPr>
          <w:color w:val="auto"/>
        </w:rPr>
      </w:pPr>
      <w:r>
        <w:rPr>
          <w:color w:val="auto"/>
        </w:rPr>
        <w:t>3.</w:t>
      </w:r>
      <w:r>
        <w:rPr>
          <w:b/>
          <w:bCs/>
          <w:color w:val="auto"/>
          <w:sz w:val="30"/>
          <w:szCs w:val="30"/>
        </w:rPr>
        <w:t>*</w:t>
      </w:r>
      <w:r>
        <w:rPr>
          <w:color w:val="auto"/>
        </w:rPr>
        <w:t>售后服务承诺书（产品售后服务承诺书及供货时效说明书</w:t>
      </w:r>
      <w:r>
        <w:rPr>
          <w:rFonts w:hint="eastAsia"/>
          <w:color w:val="auto"/>
        </w:rPr>
        <w:t>等</w:t>
      </w:r>
      <w:r>
        <w:rPr>
          <w:color w:val="auto"/>
        </w:rPr>
        <w:t>）</w:t>
      </w:r>
    </w:p>
    <w:p>
      <w:pPr>
        <w:pStyle w:val="18"/>
        <w:spacing w:before="46" w:line="240" w:lineRule="auto"/>
        <w:ind w:left="828" w:right="-218" w:rightChars="-104" w:firstLine="9"/>
        <w:rPr>
          <w:color w:val="auto"/>
        </w:rPr>
      </w:pPr>
      <w:r>
        <w:rPr>
          <w:color w:val="auto"/>
        </w:rPr>
        <w:t>4.技术方案补充说明</w:t>
      </w:r>
    </w:p>
    <w:p>
      <w:pPr>
        <w:pStyle w:val="18"/>
        <w:spacing w:before="77" w:line="240" w:lineRule="auto"/>
        <w:ind w:left="828" w:right="-218" w:rightChars="-104" w:firstLine="9"/>
        <w:rPr>
          <w:color w:val="auto"/>
        </w:rPr>
      </w:pPr>
      <w:r>
        <w:rPr>
          <w:color w:val="auto"/>
        </w:rPr>
        <w:t>5.货物</w:t>
      </w:r>
      <w:r>
        <w:rPr>
          <w:rFonts w:hint="eastAsia"/>
          <w:color w:val="auto"/>
        </w:rPr>
        <w:t>运输、安装</w:t>
      </w:r>
      <w:r>
        <w:rPr>
          <w:color w:val="auto"/>
        </w:rPr>
        <w:t>、验收规范等</w:t>
      </w:r>
    </w:p>
    <w:p>
      <w:pPr>
        <w:pStyle w:val="18"/>
        <w:spacing w:before="77" w:line="240" w:lineRule="auto"/>
        <w:ind w:left="828" w:right="-218" w:rightChars="-104" w:firstLine="9"/>
        <w:rPr>
          <w:b/>
          <w:bCs/>
          <w:color w:val="auto"/>
          <w:spacing w:val="-6"/>
        </w:rPr>
      </w:pPr>
      <w:r>
        <w:rPr>
          <w:rFonts w:hint="eastAsia"/>
          <w:color w:val="auto"/>
        </w:rPr>
        <w:t>6</w:t>
      </w:r>
      <w:r>
        <w:rPr>
          <w:rFonts w:hint="eastAsia"/>
          <w:b/>
          <w:bCs/>
          <w:color w:val="auto"/>
        </w:rPr>
        <w:t>.</w:t>
      </w:r>
      <w:r>
        <w:rPr>
          <w:rFonts w:hint="eastAsia"/>
          <w:color w:val="auto"/>
          <w:spacing w:val="-6"/>
          <w:u w:val="single"/>
        </w:rPr>
        <w:t>投标产品的产品介绍、技术参数</w:t>
      </w:r>
    </w:p>
    <w:p>
      <w:pPr>
        <w:ind w:firstLine="420" w:firstLineChars="200"/>
        <w:rPr>
          <w:rFonts w:ascii="宋体" w:hAnsi="宋体" w:cs="仿宋"/>
          <w:color w:val="auto"/>
        </w:rPr>
        <w:sectPr>
          <w:headerReference r:id="rId13" w:type="default"/>
          <w:pgSz w:w="11907" w:h="16840"/>
          <w:pgMar w:top="907" w:right="1588" w:bottom="1219" w:left="1588" w:header="567" w:footer="454" w:gutter="0"/>
          <w:cols w:space="720" w:num="1"/>
          <w:docGrid w:linePitch="312" w:charSpace="0"/>
        </w:sectPr>
      </w:pPr>
    </w:p>
    <w:p>
      <w:pPr>
        <w:ind w:firstLine="420" w:firstLineChars="200"/>
        <w:rPr>
          <w:rFonts w:ascii="宋体" w:hAnsi="宋体" w:cs="仿宋"/>
          <w:color w:val="auto"/>
        </w:rPr>
      </w:pPr>
    </w:p>
    <w:p>
      <w:pPr>
        <w:ind w:firstLine="420" w:firstLineChars="200"/>
        <w:rPr>
          <w:rFonts w:ascii="宋体" w:hAnsi="宋体" w:cs="仿宋"/>
          <w:color w:val="auto"/>
        </w:rPr>
      </w:pPr>
    </w:p>
    <w:p>
      <w:pPr>
        <w:rPr>
          <w:rFonts w:ascii="宋体" w:hAnsi="宋体" w:cs="仿宋"/>
          <w:color w:val="auto"/>
        </w:rPr>
      </w:pPr>
    </w:p>
    <w:p>
      <w:pPr>
        <w:snapToGrid w:val="0"/>
        <w:spacing w:beforeLines="100" w:afterLines="100" w:line="500" w:lineRule="exact"/>
        <w:jc w:val="left"/>
        <w:outlineLvl w:val="2"/>
        <w:rPr>
          <w:rFonts w:hAnsi="宋体"/>
          <w:b/>
          <w:bCs/>
          <w:color w:val="auto"/>
          <w:sz w:val="30"/>
          <w:szCs w:val="30"/>
        </w:rPr>
      </w:pPr>
      <w:r>
        <w:rPr>
          <w:rFonts w:hint="eastAsia" w:hAnsi="宋体"/>
          <w:b/>
          <w:bCs/>
          <w:color w:val="auto"/>
          <w:sz w:val="30"/>
          <w:szCs w:val="30"/>
        </w:rPr>
        <w:t xml:space="preserve"> </w:t>
      </w:r>
      <w:bookmarkStart w:id="209" w:name="附件2"/>
      <w:r>
        <w:rPr>
          <w:rFonts w:hAnsi="宋体"/>
          <w:b/>
          <w:bCs/>
          <w:color w:val="auto"/>
          <w:sz w:val="30"/>
          <w:szCs w:val="30"/>
        </w:rPr>
        <w:t>附件1.</w:t>
      </w:r>
    </w:p>
    <w:p>
      <w:pPr>
        <w:snapToGrid w:val="0"/>
        <w:spacing w:line="500" w:lineRule="exact"/>
        <w:jc w:val="center"/>
        <w:rPr>
          <w:b/>
          <w:color w:val="auto"/>
          <w:sz w:val="30"/>
          <w:szCs w:val="30"/>
        </w:rPr>
      </w:pPr>
      <w:r>
        <w:rPr>
          <w:rFonts w:hAnsi="宋体"/>
          <w:b/>
          <w:color w:val="auto"/>
          <w:sz w:val="30"/>
          <w:szCs w:val="30"/>
        </w:rPr>
        <w:t>投标声明（格式）</w:t>
      </w:r>
    </w:p>
    <w:p>
      <w:pPr>
        <w:adjustRightInd w:val="0"/>
        <w:snapToGrid w:val="0"/>
        <w:spacing w:line="360" w:lineRule="exact"/>
        <w:rPr>
          <w:color w:val="auto"/>
          <w:sz w:val="24"/>
        </w:rPr>
      </w:pPr>
      <w:r>
        <w:rPr>
          <w:rFonts w:hAnsi="宋体"/>
          <w:color w:val="auto"/>
          <w:sz w:val="24"/>
        </w:rPr>
        <w:t>致</w:t>
      </w:r>
      <w:r>
        <w:rPr>
          <w:rFonts w:hAnsi="宋体"/>
          <w:color w:val="auto"/>
          <w:sz w:val="24"/>
          <w:u w:val="single"/>
        </w:rPr>
        <w:t>湖南工程学院</w:t>
      </w:r>
      <w:r>
        <w:rPr>
          <w:rFonts w:hAnsi="宋体"/>
          <w:color w:val="auto"/>
          <w:sz w:val="24"/>
        </w:rPr>
        <w:t>：</w:t>
      </w:r>
    </w:p>
    <w:p>
      <w:pPr>
        <w:adjustRightInd w:val="0"/>
        <w:snapToGrid w:val="0"/>
        <w:spacing w:line="360" w:lineRule="exact"/>
        <w:ind w:firstLine="435"/>
        <w:rPr>
          <w:color w:val="auto"/>
          <w:sz w:val="24"/>
        </w:rPr>
      </w:pPr>
      <w:r>
        <w:rPr>
          <w:rFonts w:hAnsi="宋体"/>
          <w:color w:val="auto"/>
          <w:sz w:val="24"/>
        </w:rPr>
        <w:t>我方愿意参加贵方组织</w:t>
      </w:r>
      <w:r>
        <w:rPr>
          <w:color w:val="auto"/>
          <w:sz w:val="24"/>
          <w:u w:val="single"/>
        </w:rPr>
        <w:t xml:space="preserve">             </w:t>
      </w:r>
      <w:r>
        <w:rPr>
          <w:rFonts w:hAnsi="宋体"/>
          <w:color w:val="auto"/>
          <w:sz w:val="24"/>
        </w:rPr>
        <w:t>（招标项目名称）（项目编号：</w:t>
      </w:r>
      <w:r>
        <w:rPr>
          <w:color w:val="auto"/>
          <w:sz w:val="24"/>
          <w:u w:val="single"/>
        </w:rPr>
        <w:t xml:space="preserve">           </w:t>
      </w:r>
      <w:r>
        <w:rPr>
          <w:rFonts w:hAnsi="宋体"/>
          <w:color w:val="auto"/>
          <w:sz w:val="24"/>
        </w:rPr>
        <w:t>）项目的投标，签字代表</w:t>
      </w:r>
      <w:r>
        <w:rPr>
          <w:color w:val="auto"/>
          <w:sz w:val="24"/>
          <w:u w:val="single"/>
        </w:rPr>
        <w:t xml:space="preserve">         </w:t>
      </w:r>
      <w:r>
        <w:rPr>
          <w:rFonts w:hAnsi="宋体"/>
          <w:color w:val="auto"/>
          <w:sz w:val="24"/>
        </w:rPr>
        <w:t>（姓名、职务）经正式授权并代表投标人</w:t>
      </w:r>
      <w:r>
        <w:rPr>
          <w:color w:val="auto"/>
          <w:sz w:val="24"/>
          <w:u w:val="single"/>
        </w:rPr>
        <w:t xml:space="preserve">        </w:t>
      </w:r>
      <w:r>
        <w:rPr>
          <w:rFonts w:hAnsi="宋体"/>
          <w:color w:val="auto"/>
          <w:sz w:val="24"/>
        </w:rPr>
        <w:t>（投标人名称、地址）提交下述文件正本一份、副本</w:t>
      </w:r>
      <w:r>
        <w:rPr>
          <w:color w:val="auto"/>
          <w:sz w:val="24"/>
          <w:u w:val="single"/>
        </w:rPr>
        <w:t xml:space="preserve">     </w:t>
      </w:r>
      <w:r>
        <w:rPr>
          <w:rFonts w:hAnsi="宋体"/>
          <w:color w:val="auto"/>
          <w:sz w:val="24"/>
        </w:rPr>
        <w:t>份。</w:t>
      </w:r>
      <w:r>
        <w:rPr>
          <w:rFonts w:hAnsi="宋体"/>
          <w:b/>
          <w:bCs/>
          <w:color w:val="auto"/>
          <w:sz w:val="24"/>
          <w:u w:val="single"/>
        </w:rPr>
        <w:t>并在此声明，所递交的投标文件内容完整、真实。</w:t>
      </w:r>
      <w:r>
        <w:rPr>
          <w:rFonts w:hAnsi="宋体"/>
          <w:color w:val="auto"/>
          <w:sz w:val="24"/>
        </w:rPr>
        <w:t>在此，签字代表宣布同意如下：</w:t>
      </w:r>
    </w:p>
    <w:p>
      <w:pPr>
        <w:adjustRightInd w:val="0"/>
        <w:snapToGrid w:val="0"/>
        <w:spacing w:line="360" w:lineRule="exact"/>
        <w:ind w:firstLine="480" w:firstLineChars="200"/>
        <w:rPr>
          <w:color w:val="auto"/>
          <w:sz w:val="24"/>
        </w:rPr>
      </w:pPr>
      <w:r>
        <w:rPr>
          <w:color w:val="auto"/>
          <w:sz w:val="24"/>
        </w:rPr>
        <w:t>1</w:t>
      </w:r>
      <w:r>
        <w:rPr>
          <w:rFonts w:hAnsi="宋体"/>
          <w:color w:val="auto"/>
          <w:sz w:val="24"/>
        </w:rPr>
        <w:t>、所附投标价格表中规定的应提交和交付的货物和服务投标总价为</w:t>
      </w:r>
      <w:r>
        <w:rPr>
          <w:color w:val="auto"/>
          <w:sz w:val="24"/>
          <w:u w:val="single"/>
        </w:rPr>
        <w:t xml:space="preserve">   </w:t>
      </w:r>
      <w:r>
        <w:rPr>
          <w:color w:val="auto"/>
          <w:sz w:val="24"/>
        </w:rPr>
        <w:t>(</w:t>
      </w:r>
      <w:r>
        <w:rPr>
          <w:rFonts w:hAnsi="宋体"/>
          <w:color w:val="auto"/>
          <w:sz w:val="24"/>
        </w:rPr>
        <w:t>人民币大写</w:t>
      </w:r>
      <w:r>
        <w:rPr>
          <w:color w:val="auto"/>
          <w:sz w:val="24"/>
        </w:rPr>
        <w:t>)</w:t>
      </w:r>
      <w:r>
        <w:rPr>
          <w:rFonts w:hAnsi="宋体"/>
          <w:color w:val="auto"/>
          <w:sz w:val="24"/>
        </w:rPr>
        <w:t>。</w:t>
      </w:r>
    </w:p>
    <w:p>
      <w:pPr>
        <w:adjustRightInd w:val="0"/>
        <w:snapToGrid w:val="0"/>
        <w:spacing w:line="360" w:lineRule="exact"/>
        <w:ind w:firstLine="480" w:firstLineChars="200"/>
        <w:rPr>
          <w:color w:val="auto"/>
          <w:sz w:val="24"/>
        </w:rPr>
      </w:pPr>
      <w:r>
        <w:rPr>
          <w:color w:val="auto"/>
          <w:sz w:val="24"/>
        </w:rPr>
        <w:t>2</w:t>
      </w:r>
      <w:r>
        <w:rPr>
          <w:rFonts w:hAnsi="宋体"/>
          <w:color w:val="auto"/>
          <w:sz w:val="24"/>
        </w:rPr>
        <w:t>、投标人将按招标文件的规定履行合同责任和义务。</w:t>
      </w:r>
    </w:p>
    <w:p>
      <w:pPr>
        <w:adjustRightInd w:val="0"/>
        <w:snapToGrid w:val="0"/>
        <w:spacing w:line="360" w:lineRule="exact"/>
        <w:ind w:firstLine="480" w:firstLineChars="200"/>
        <w:rPr>
          <w:color w:val="auto"/>
          <w:sz w:val="24"/>
        </w:rPr>
      </w:pPr>
      <w:r>
        <w:rPr>
          <w:color w:val="auto"/>
          <w:sz w:val="24"/>
        </w:rPr>
        <w:t>3</w:t>
      </w:r>
      <w:r>
        <w:rPr>
          <w:rFonts w:hAnsi="宋体"/>
          <w:color w:val="auto"/>
          <w:sz w:val="24"/>
        </w:rPr>
        <w:t>、投标人已详细审查全部招标文件。我们完全理解并同意放弃对这方面有不明及误解的权力。</w:t>
      </w:r>
    </w:p>
    <w:p>
      <w:pPr>
        <w:adjustRightInd w:val="0"/>
        <w:snapToGrid w:val="0"/>
        <w:spacing w:line="360" w:lineRule="exact"/>
        <w:ind w:firstLine="480" w:firstLineChars="200"/>
        <w:rPr>
          <w:color w:val="auto"/>
          <w:sz w:val="24"/>
        </w:rPr>
      </w:pPr>
      <w:r>
        <w:rPr>
          <w:color w:val="auto"/>
          <w:sz w:val="24"/>
        </w:rPr>
        <w:t>4</w:t>
      </w:r>
      <w:r>
        <w:rPr>
          <w:rFonts w:hAnsi="宋体"/>
          <w:color w:val="auto"/>
          <w:sz w:val="24"/>
        </w:rPr>
        <w:t>、根据</w:t>
      </w:r>
      <w:r>
        <w:rPr>
          <w:rFonts w:hAnsi="宋体"/>
          <w:b/>
          <w:color w:val="auto"/>
          <w:sz w:val="24"/>
        </w:rPr>
        <w:t>投标须知第</w:t>
      </w:r>
      <w:r>
        <w:rPr>
          <w:b/>
          <w:color w:val="auto"/>
          <w:sz w:val="24"/>
        </w:rPr>
        <w:t>3</w:t>
      </w:r>
      <w:r>
        <w:rPr>
          <w:rFonts w:hAnsi="宋体"/>
          <w:b/>
          <w:color w:val="auto"/>
          <w:sz w:val="24"/>
        </w:rPr>
        <w:t>条</w:t>
      </w:r>
      <w:r>
        <w:rPr>
          <w:rFonts w:hAnsi="宋体"/>
          <w:color w:val="auto"/>
          <w:sz w:val="24"/>
        </w:rPr>
        <w:t>规定，我方承诺：</w:t>
      </w:r>
    </w:p>
    <w:p>
      <w:pPr>
        <w:adjustRightInd w:val="0"/>
        <w:snapToGrid w:val="0"/>
        <w:spacing w:line="360" w:lineRule="exact"/>
        <w:ind w:firstLine="480" w:firstLineChars="200"/>
        <w:rPr>
          <w:color w:val="auto"/>
          <w:sz w:val="24"/>
        </w:rPr>
      </w:pPr>
      <w:r>
        <w:rPr>
          <w:color w:val="auto"/>
          <w:sz w:val="24"/>
        </w:rPr>
        <w:t>(1)</w:t>
      </w:r>
      <w:r>
        <w:rPr>
          <w:rFonts w:hAnsi="宋体"/>
          <w:color w:val="auto"/>
          <w:sz w:val="24"/>
        </w:rPr>
        <w:t>我们在参加本次采购活动前三年内（新注册单位自营业至今），在经营活动中没有违背中华人民共和国法律的行为，并提供参加采购活动前三年内在经营活动中没有重大违法记录的书面声明；</w:t>
      </w:r>
    </w:p>
    <w:p>
      <w:pPr>
        <w:adjustRightInd w:val="0"/>
        <w:snapToGrid w:val="0"/>
        <w:spacing w:line="360" w:lineRule="exact"/>
        <w:ind w:firstLine="480" w:firstLineChars="200"/>
        <w:rPr>
          <w:color w:val="auto"/>
          <w:sz w:val="24"/>
        </w:rPr>
      </w:pPr>
      <w:r>
        <w:rPr>
          <w:color w:val="auto"/>
          <w:sz w:val="24"/>
        </w:rPr>
        <w:t>(2)</w:t>
      </w:r>
      <w:r>
        <w:rPr>
          <w:rFonts w:hAnsi="宋体"/>
          <w:color w:val="auto"/>
          <w:sz w:val="24"/>
        </w:rPr>
        <w:t>我们依照中华人民共和国有关法律的规定，没有偷税、漏税的行为；</w:t>
      </w:r>
    </w:p>
    <w:p>
      <w:pPr>
        <w:adjustRightInd w:val="0"/>
        <w:snapToGrid w:val="0"/>
        <w:spacing w:line="360" w:lineRule="exact"/>
        <w:ind w:firstLine="480" w:firstLineChars="200"/>
        <w:rPr>
          <w:color w:val="auto"/>
          <w:sz w:val="24"/>
        </w:rPr>
      </w:pPr>
      <w:r>
        <w:rPr>
          <w:color w:val="auto"/>
          <w:sz w:val="24"/>
        </w:rPr>
        <w:t>(3)</w:t>
      </w:r>
      <w:r>
        <w:rPr>
          <w:rFonts w:hAnsi="宋体"/>
          <w:color w:val="auto"/>
          <w:sz w:val="24"/>
        </w:rPr>
        <w:t>与采购人无任何的隶属关系或者其他利害关系。</w:t>
      </w:r>
    </w:p>
    <w:p>
      <w:pPr>
        <w:adjustRightInd w:val="0"/>
        <w:snapToGrid w:val="0"/>
        <w:spacing w:line="360" w:lineRule="exact"/>
        <w:ind w:firstLine="480" w:firstLineChars="200"/>
        <w:rPr>
          <w:color w:val="auto"/>
          <w:sz w:val="24"/>
        </w:rPr>
      </w:pPr>
      <w:r>
        <w:rPr>
          <w:color w:val="auto"/>
          <w:sz w:val="24"/>
        </w:rPr>
        <w:t>5</w:t>
      </w:r>
      <w:r>
        <w:rPr>
          <w:rFonts w:hAnsi="宋体"/>
          <w:color w:val="auto"/>
          <w:sz w:val="24"/>
        </w:rPr>
        <w:t>、同意提供贵方可能要求的与其投标有关的一切数据或资料。</w:t>
      </w:r>
      <w:r>
        <w:rPr>
          <w:color w:val="auto"/>
          <w:sz w:val="24"/>
        </w:rPr>
        <w:t xml:space="preserve"> </w:t>
      </w:r>
    </w:p>
    <w:p>
      <w:pPr>
        <w:adjustRightInd w:val="0"/>
        <w:snapToGrid w:val="0"/>
        <w:spacing w:line="360" w:lineRule="exact"/>
        <w:ind w:firstLine="480" w:firstLineChars="200"/>
        <w:rPr>
          <w:color w:val="auto"/>
          <w:sz w:val="24"/>
        </w:rPr>
      </w:pPr>
      <w:r>
        <w:rPr>
          <w:color w:val="auto"/>
          <w:sz w:val="24"/>
        </w:rPr>
        <w:t>6</w:t>
      </w:r>
      <w:r>
        <w:rPr>
          <w:rFonts w:hAnsi="宋体"/>
          <w:color w:val="auto"/>
          <w:sz w:val="24"/>
        </w:rPr>
        <w:t>、</w:t>
      </w:r>
      <w:r>
        <w:rPr>
          <w:rFonts w:hAnsi="宋体"/>
          <w:b/>
          <w:bCs/>
          <w:color w:val="auto"/>
          <w:sz w:val="24"/>
        </w:rPr>
        <w:t>承担因投标文件内容虚假造成的一切后果及法律责任。</w:t>
      </w:r>
    </w:p>
    <w:p>
      <w:pPr>
        <w:adjustRightInd w:val="0"/>
        <w:snapToGrid w:val="0"/>
        <w:spacing w:line="360" w:lineRule="exact"/>
        <w:ind w:firstLine="480" w:firstLineChars="200"/>
        <w:rPr>
          <w:color w:val="auto"/>
          <w:sz w:val="24"/>
        </w:rPr>
      </w:pPr>
      <w:r>
        <w:rPr>
          <w:color w:val="auto"/>
          <w:sz w:val="24"/>
        </w:rPr>
        <w:t>7</w:t>
      </w:r>
      <w:r>
        <w:rPr>
          <w:rFonts w:hAnsi="宋体"/>
          <w:color w:val="auto"/>
          <w:sz w:val="24"/>
        </w:rPr>
        <w:t>、废标后，在收到贵方的通知后，我方本投标函签及所有投标文件中授权、声明、承诺等，对于贵方采用竞争性谈判采购仍然有效。我方遵守贵方招标文件关于特殊情形采用竞争性谈判采购的有关规定，并无异议。</w:t>
      </w:r>
    </w:p>
    <w:p>
      <w:pPr>
        <w:adjustRightInd w:val="0"/>
        <w:snapToGrid w:val="0"/>
        <w:spacing w:line="360" w:lineRule="exact"/>
        <w:ind w:firstLine="480" w:firstLineChars="200"/>
        <w:rPr>
          <w:color w:val="auto"/>
          <w:sz w:val="24"/>
        </w:rPr>
      </w:pPr>
      <w:r>
        <w:rPr>
          <w:color w:val="auto"/>
          <w:sz w:val="24"/>
        </w:rPr>
        <w:t>8</w:t>
      </w:r>
      <w:r>
        <w:rPr>
          <w:rFonts w:hAnsi="宋体"/>
          <w:color w:val="auto"/>
          <w:sz w:val="24"/>
        </w:rPr>
        <w:t>、与本投标有关的一切正式往来信函请寄：</w:t>
      </w:r>
    </w:p>
    <w:p>
      <w:pPr>
        <w:adjustRightInd w:val="0"/>
        <w:snapToGrid w:val="0"/>
        <w:spacing w:beforeLines="50" w:line="360" w:lineRule="exact"/>
        <w:rPr>
          <w:color w:val="auto"/>
          <w:sz w:val="24"/>
          <w:u w:val="single"/>
        </w:rPr>
      </w:pPr>
      <w:r>
        <w:rPr>
          <w:rFonts w:hAnsi="宋体"/>
          <w:color w:val="auto"/>
          <w:sz w:val="24"/>
        </w:rPr>
        <w:t>地址：</w:t>
      </w:r>
      <w:r>
        <w:rPr>
          <w:color w:val="auto"/>
          <w:sz w:val="24"/>
          <w:u w:val="single"/>
        </w:rPr>
        <w:t xml:space="preserve">              </w:t>
      </w:r>
      <w:r>
        <w:rPr>
          <w:rFonts w:hAnsi="宋体"/>
          <w:color w:val="auto"/>
          <w:sz w:val="24"/>
        </w:rPr>
        <w:t>邮编：</w:t>
      </w:r>
      <w:r>
        <w:rPr>
          <w:color w:val="auto"/>
          <w:sz w:val="24"/>
          <w:u w:val="single"/>
        </w:rPr>
        <w:t xml:space="preserve">             </w:t>
      </w:r>
      <w:r>
        <w:rPr>
          <w:rFonts w:hAnsi="宋体"/>
          <w:color w:val="auto"/>
          <w:sz w:val="24"/>
        </w:rPr>
        <w:t>电话：</w:t>
      </w:r>
      <w:r>
        <w:rPr>
          <w:color w:val="auto"/>
          <w:sz w:val="24"/>
          <w:u w:val="single"/>
        </w:rPr>
        <w:t xml:space="preserve">             </w:t>
      </w:r>
      <w:r>
        <w:rPr>
          <w:color w:val="auto"/>
          <w:sz w:val="24"/>
        </w:rPr>
        <w:t xml:space="preserve"> </w:t>
      </w:r>
      <w:r>
        <w:rPr>
          <w:rFonts w:hAnsi="宋体"/>
          <w:color w:val="auto"/>
          <w:sz w:val="24"/>
        </w:rPr>
        <w:t>传真：</w:t>
      </w:r>
      <w:r>
        <w:rPr>
          <w:color w:val="auto"/>
          <w:sz w:val="24"/>
          <w:u w:val="single"/>
        </w:rPr>
        <w:t xml:space="preserve">       </w:t>
      </w:r>
    </w:p>
    <w:p>
      <w:pPr>
        <w:pStyle w:val="22"/>
        <w:adjustRightInd w:val="0"/>
        <w:snapToGrid w:val="0"/>
        <w:spacing w:beforeLines="50" w:line="360" w:lineRule="exact"/>
        <w:rPr>
          <w:rFonts w:ascii="Times New Roman" w:hAnsi="Times New Roman"/>
          <w:color w:val="auto"/>
          <w:sz w:val="24"/>
        </w:rPr>
      </w:pPr>
      <w:r>
        <w:rPr>
          <w:rFonts w:ascii="Times New Roman" w:hAnsi="宋体"/>
          <w:color w:val="auto"/>
          <w:sz w:val="24"/>
        </w:rPr>
        <w:t>投标人名称</w:t>
      </w:r>
      <w:r>
        <w:rPr>
          <w:rFonts w:ascii="Times New Roman" w:hAnsi="Times New Roman"/>
          <w:color w:val="auto"/>
          <w:sz w:val="24"/>
        </w:rPr>
        <w:t>(</w:t>
      </w:r>
      <w:r>
        <w:rPr>
          <w:rFonts w:ascii="Times New Roman" w:hAnsi="宋体"/>
          <w:color w:val="auto"/>
          <w:sz w:val="24"/>
        </w:rPr>
        <w:t>盖章</w:t>
      </w:r>
      <w:r>
        <w:rPr>
          <w:rFonts w:ascii="Times New Roman" w:hAnsi="Times New Roman"/>
          <w:color w:val="auto"/>
          <w:sz w:val="24"/>
        </w:rPr>
        <w:t>)</w:t>
      </w:r>
      <w:r>
        <w:rPr>
          <w:rFonts w:ascii="Times New Roman" w:hAnsi="宋体"/>
          <w:color w:val="auto"/>
          <w:sz w:val="24"/>
        </w:rPr>
        <w:t>：</w:t>
      </w:r>
      <w:r>
        <w:rPr>
          <w:rFonts w:ascii="Times New Roman" w:hAnsi="Times New Roman"/>
          <w:color w:val="auto"/>
          <w:sz w:val="24"/>
          <w:u w:val="single"/>
        </w:rPr>
        <w:t xml:space="preserve">                             </w:t>
      </w:r>
    </w:p>
    <w:p>
      <w:pPr>
        <w:adjustRightInd w:val="0"/>
        <w:snapToGrid w:val="0"/>
        <w:spacing w:beforeLines="50" w:line="360" w:lineRule="exact"/>
        <w:rPr>
          <w:color w:val="auto"/>
          <w:sz w:val="24"/>
        </w:rPr>
      </w:pPr>
      <w:r>
        <w:rPr>
          <w:rFonts w:hint="eastAsia" w:hAnsi="宋体"/>
          <w:color w:val="auto"/>
          <w:sz w:val="24"/>
        </w:rPr>
        <w:t>法定代表人</w:t>
      </w:r>
      <w:r>
        <w:rPr>
          <w:rFonts w:hAnsi="宋体"/>
          <w:color w:val="auto"/>
          <w:sz w:val="24"/>
        </w:rPr>
        <w:t>（经营者）或其授权的代理人</w:t>
      </w:r>
      <w:r>
        <w:rPr>
          <w:color w:val="auto"/>
          <w:sz w:val="24"/>
        </w:rPr>
        <w:t>(</w:t>
      </w:r>
      <w:r>
        <w:rPr>
          <w:rFonts w:hAnsi="宋体"/>
          <w:color w:val="auto"/>
          <w:sz w:val="24"/>
        </w:rPr>
        <w:t>签字</w:t>
      </w:r>
      <w:r>
        <w:rPr>
          <w:color w:val="auto"/>
          <w:sz w:val="24"/>
        </w:rPr>
        <w:t>)</w:t>
      </w:r>
      <w:r>
        <w:rPr>
          <w:rFonts w:hAnsi="宋体"/>
          <w:color w:val="auto"/>
          <w:sz w:val="24"/>
        </w:rPr>
        <w:t>：</w:t>
      </w:r>
      <w:r>
        <w:rPr>
          <w:color w:val="auto"/>
          <w:sz w:val="24"/>
          <w:u w:val="single"/>
        </w:rPr>
        <w:t xml:space="preserve">           </w:t>
      </w:r>
      <w:r>
        <w:rPr>
          <w:rFonts w:hAnsi="宋体"/>
          <w:color w:val="auto"/>
          <w:sz w:val="24"/>
        </w:rPr>
        <w:t>日期：</w:t>
      </w:r>
      <w:r>
        <w:rPr>
          <w:color w:val="auto"/>
          <w:sz w:val="24"/>
          <w:u w:val="single"/>
        </w:rPr>
        <w:t xml:space="preserve">     </w:t>
      </w:r>
      <w:r>
        <w:rPr>
          <w:rFonts w:hAnsi="宋体"/>
          <w:color w:val="auto"/>
          <w:sz w:val="24"/>
        </w:rPr>
        <w:t>年</w:t>
      </w:r>
      <w:r>
        <w:rPr>
          <w:color w:val="auto"/>
          <w:sz w:val="24"/>
          <w:u w:val="single"/>
        </w:rPr>
        <w:t xml:space="preserve">  </w:t>
      </w:r>
      <w:r>
        <w:rPr>
          <w:rFonts w:hAnsi="宋体"/>
          <w:color w:val="auto"/>
          <w:sz w:val="24"/>
        </w:rPr>
        <w:t>月</w:t>
      </w:r>
      <w:r>
        <w:rPr>
          <w:color w:val="auto"/>
          <w:sz w:val="24"/>
          <w:u w:val="single"/>
        </w:rPr>
        <w:t xml:space="preserve">  </w:t>
      </w:r>
      <w:r>
        <w:rPr>
          <w:rFonts w:hAnsi="宋体"/>
          <w:color w:val="auto"/>
          <w:sz w:val="24"/>
        </w:rPr>
        <w:t>日</w:t>
      </w:r>
    </w:p>
    <w:p>
      <w:pPr>
        <w:adjustRightInd w:val="0"/>
        <w:snapToGrid w:val="0"/>
        <w:spacing w:beforeLines="50" w:line="360" w:lineRule="exact"/>
        <w:ind w:left="-88" w:leftChars="-42" w:firstLine="480" w:firstLineChars="200"/>
        <w:rPr>
          <w:color w:val="auto"/>
          <w:sz w:val="24"/>
        </w:rPr>
      </w:pPr>
      <w:r>
        <w:rPr>
          <w:rFonts w:hAnsi="宋体"/>
          <w:color w:val="auto"/>
          <w:sz w:val="24"/>
        </w:rPr>
        <w:t>注：除可填报项目外，对本投标函的任何修改将被视为非实质性响应投标，从而导致该投标被拒绝。</w:t>
      </w:r>
    </w:p>
    <w:p>
      <w:pPr>
        <w:snapToGrid w:val="0"/>
        <w:spacing w:beforeLines="100" w:afterLines="100" w:line="500" w:lineRule="exact"/>
        <w:jc w:val="left"/>
        <w:outlineLvl w:val="2"/>
        <w:rPr>
          <w:color w:val="auto"/>
          <w:sz w:val="24"/>
        </w:rPr>
      </w:pPr>
      <w:r>
        <w:rPr>
          <w:rFonts w:hAnsi="宋体"/>
          <w:b/>
          <w:bCs/>
          <w:color w:val="auto"/>
          <w:sz w:val="30"/>
          <w:szCs w:val="30"/>
        </w:rPr>
        <w:br w:type="page"/>
      </w:r>
      <w:r>
        <w:rPr>
          <w:rFonts w:hAnsi="宋体"/>
          <w:b/>
          <w:bCs/>
          <w:color w:val="auto"/>
          <w:sz w:val="30"/>
          <w:szCs w:val="30"/>
        </w:rPr>
        <w:t>附件</w:t>
      </w:r>
      <w:r>
        <w:rPr>
          <w:b/>
          <w:bCs/>
          <w:color w:val="auto"/>
          <w:sz w:val="30"/>
          <w:szCs w:val="30"/>
        </w:rPr>
        <w:t>2.</w:t>
      </w:r>
    </w:p>
    <w:p>
      <w:pPr>
        <w:snapToGrid w:val="0"/>
        <w:spacing w:beforeLines="100" w:afterLines="100" w:line="500" w:lineRule="exact"/>
        <w:jc w:val="center"/>
        <w:rPr>
          <w:color w:val="auto"/>
          <w:sz w:val="32"/>
          <w:szCs w:val="32"/>
        </w:rPr>
      </w:pPr>
      <w:r>
        <w:rPr>
          <w:rFonts w:hAnsi="宋体"/>
          <w:b/>
          <w:color w:val="auto"/>
          <w:sz w:val="30"/>
          <w:szCs w:val="30"/>
        </w:rPr>
        <w:t>开标一览表</w:t>
      </w:r>
    </w:p>
    <w:tbl>
      <w:tblPr>
        <w:tblStyle w:val="47"/>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4533"/>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22" w:hRule="exact"/>
        </w:trPr>
        <w:tc>
          <w:tcPr>
            <w:tcW w:w="1812" w:type="dxa"/>
            <w:tcBorders>
              <w:top w:val="single" w:color="auto" w:sz="12" w:space="0"/>
              <w:bottom w:val="single" w:color="auto" w:sz="12" w:space="0"/>
              <w:right w:val="single" w:color="auto" w:sz="12" w:space="0"/>
            </w:tcBorders>
            <w:vAlign w:val="center"/>
          </w:tcPr>
          <w:p>
            <w:pPr>
              <w:spacing w:line="460" w:lineRule="exact"/>
              <w:jc w:val="center"/>
              <w:rPr>
                <w:color w:val="auto"/>
                <w:sz w:val="24"/>
              </w:rPr>
            </w:pPr>
            <w:r>
              <w:rPr>
                <w:rFonts w:hAnsi="宋体"/>
                <w:color w:val="auto"/>
                <w:sz w:val="24"/>
              </w:rPr>
              <w:t>项目名称</w:t>
            </w:r>
          </w:p>
        </w:tc>
        <w:tc>
          <w:tcPr>
            <w:tcW w:w="6943" w:type="dxa"/>
            <w:gridSpan w:val="2"/>
            <w:tcBorders>
              <w:top w:val="single" w:color="auto" w:sz="12" w:space="0"/>
              <w:left w:val="single" w:color="auto" w:sz="12" w:space="0"/>
              <w:bottom w:val="single" w:color="auto" w:sz="12" w:space="0"/>
            </w:tcBorders>
            <w:vAlign w:val="center"/>
          </w:tcPr>
          <w:p>
            <w:pPr>
              <w:spacing w:line="360" w:lineRule="auto"/>
              <w:jc w:val="left"/>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exact"/>
        </w:trPr>
        <w:tc>
          <w:tcPr>
            <w:tcW w:w="1812" w:type="dxa"/>
            <w:tcBorders>
              <w:top w:val="single" w:color="auto" w:sz="12" w:space="0"/>
              <w:right w:val="single" w:color="auto" w:sz="12" w:space="0"/>
            </w:tcBorders>
            <w:vAlign w:val="center"/>
          </w:tcPr>
          <w:p>
            <w:pPr>
              <w:spacing w:line="460" w:lineRule="exact"/>
              <w:jc w:val="center"/>
              <w:rPr>
                <w:color w:val="auto"/>
                <w:sz w:val="24"/>
              </w:rPr>
            </w:pPr>
            <w:r>
              <w:rPr>
                <w:rFonts w:hAnsi="宋体"/>
                <w:color w:val="auto"/>
                <w:sz w:val="24"/>
              </w:rPr>
              <w:t>项目编号</w:t>
            </w:r>
          </w:p>
        </w:tc>
        <w:tc>
          <w:tcPr>
            <w:tcW w:w="6943" w:type="dxa"/>
            <w:gridSpan w:val="2"/>
            <w:tcBorders>
              <w:top w:val="single" w:color="auto" w:sz="12" w:space="0"/>
              <w:left w:val="single" w:color="auto" w:sz="12" w:space="0"/>
            </w:tcBorders>
            <w:vAlign w:val="center"/>
          </w:tcPr>
          <w:p>
            <w:pP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exact"/>
        </w:trPr>
        <w:tc>
          <w:tcPr>
            <w:tcW w:w="1812" w:type="dxa"/>
            <w:tcBorders>
              <w:bottom w:val="single" w:color="auto" w:sz="4" w:space="0"/>
              <w:right w:val="single" w:color="auto" w:sz="12" w:space="0"/>
            </w:tcBorders>
            <w:vAlign w:val="center"/>
          </w:tcPr>
          <w:p>
            <w:pPr>
              <w:spacing w:line="460" w:lineRule="exact"/>
              <w:ind w:firstLine="120" w:firstLineChars="50"/>
              <w:rPr>
                <w:color w:val="auto"/>
                <w:sz w:val="24"/>
              </w:rPr>
            </w:pPr>
            <w:r>
              <w:rPr>
                <w:rFonts w:hAnsi="宋体"/>
                <w:color w:val="auto"/>
                <w:sz w:val="24"/>
              </w:rPr>
              <w:t>投标人名称</w:t>
            </w:r>
          </w:p>
        </w:tc>
        <w:tc>
          <w:tcPr>
            <w:tcW w:w="6943" w:type="dxa"/>
            <w:gridSpan w:val="2"/>
            <w:tcBorders>
              <w:left w:val="single" w:color="auto" w:sz="12" w:space="0"/>
            </w:tcBorders>
          </w:tcPr>
          <w:p>
            <w:pPr>
              <w:pStyle w:val="24"/>
              <w:spacing w:line="460" w:lineRule="exact"/>
              <w:ind w:left="86" w:leftChars="41"/>
              <w:rPr>
                <w:rFonts w:eastAsia="宋体"/>
                <w:b w:val="0"/>
                <w:color w:val="auto"/>
                <w:spacing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26" w:hRule="atLeast"/>
        </w:trPr>
        <w:tc>
          <w:tcPr>
            <w:tcW w:w="1812" w:type="dxa"/>
            <w:tcBorders>
              <w:top w:val="single" w:color="auto" w:sz="4" w:space="0"/>
              <w:right w:val="single" w:color="auto" w:sz="12" w:space="0"/>
            </w:tcBorders>
            <w:vAlign w:val="center"/>
          </w:tcPr>
          <w:p>
            <w:pPr>
              <w:spacing w:line="460" w:lineRule="exact"/>
              <w:rPr>
                <w:rFonts w:hAnsi="宋体"/>
                <w:color w:val="auto"/>
                <w:sz w:val="24"/>
              </w:rPr>
            </w:pPr>
            <w:r>
              <w:rPr>
                <w:rFonts w:hint="eastAsia" w:hAnsi="宋体"/>
                <w:color w:val="auto"/>
                <w:sz w:val="24"/>
              </w:rPr>
              <w:t xml:space="preserve">   货物名称</w:t>
            </w:r>
          </w:p>
        </w:tc>
        <w:tc>
          <w:tcPr>
            <w:tcW w:w="4533" w:type="dxa"/>
            <w:tcBorders>
              <w:top w:val="single" w:color="auto" w:sz="4" w:space="0"/>
              <w:left w:val="single" w:color="auto" w:sz="12" w:space="0"/>
            </w:tcBorders>
            <w:vAlign w:val="center"/>
          </w:tcPr>
          <w:p>
            <w:pPr>
              <w:spacing w:line="460" w:lineRule="exact"/>
              <w:ind w:firstLine="1680" w:firstLineChars="700"/>
              <w:rPr>
                <w:rFonts w:hAnsi="宋体"/>
                <w:color w:val="auto"/>
                <w:sz w:val="24"/>
              </w:rPr>
            </w:pPr>
          </w:p>
        </w:tc>
        <w:tc>
          <w:tcPr>
            <w:tcW w:w="2410" w:type="dxa"/>
            <w:tcBorders>
              <w:left w:val="single" w:color="auto" w:sz="4" w:space="0"/>
            </w:tcBorders>
            <w:vAlign w:val="center"/>
          </w:tcPr>
          <w:p>
            <w:pPr>
              <w:spacing w:line="460" w:lineRule="exact"/>
              <w:ind w:firstLine="720" w:firstLineChars="300"/>
              <w:rPr>
                <w:rFonts w:hAnsi="宋体"/>
                <w:color w:val="auto"/>
                <w:sz w:val="24"/>
              </w:rPr>
            </w:pPr>
            <w:r>
              <w:rPr>
                <w:rFonts w:hint="eastAsia" w:hAnsi="宋体"/>
                <w:color w:val="auto"/>
                <w:sz w:val="24"/>
              </w:rPr>
              <w:t>交货期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68" w:hRule="atLeast"/>
        </w:trPr>
        <w:tc>
          <w:tcPr>
            <w:tcW w:w="1812" w:type="dxa"/>
            <w:tcBorders>
              <w:right w:val="single" w:color="auto" w:sz="12" w:space="0"/>
            </w:tcBorders>
            <w:vAlign w:val="center"/>
          </w:tcPr>
          <w:p>
            <w:pPr>
              <w:spacing w:line="460" w:lineRule="exact"/>
              <w:jc w:val="center"/>
              <w:rPr>
                <w:rFonts w:hAnsi="宋体"/>
                <w:color w:val="auto"/>
                <w:sz w:val="24"/>
              </w:rPr>
            </w:pPr>
            <w:r>
              <w:rPr>
                <w:rFonts w:hint="eastAsia" w:hAnsi="宋体"/>
                <w:color w:val="auto"/>
                <w:sz w:val="24"/>
              </w:rPr>
              <w:t>投标价格</w:t>
            </w:r>
          </w:p>
        </w:tc>
        <w:tc>
          <w:tcPr>
            <w:tcW w:w="4533" w:type="dxa"/>
            <w:tcBorders>
              <w:left w:val="single" w:color="auto" w:sz="12" w:space="0"/>
            </w:tcBorders>
            <w:vAlign w:val="center"/>
          </w:tcPr>
          <w:p>
            <w:pPr>
              <w:spacing w:line="460" w:lineRule="exact"/>
              <w:rPr>
                <w:rFonts w:hAnsi="宋体"/>
                <w:color w:val="auto"/>
                <w:sz w:val="24"/>
              </w:rPr>
            </w:pPr>
            <w:r>
              <w:rPr>
                <w:rFonts w:hint="eastAsia" w:hAnsi="宋体"/>
                <w:color w:val="auto"/>
                <w:sz w:val="24"/>
              </w:rPr>
              <w:t xml:space="preserve">                           元/套</w:t>
            </w:r>
          </w:p>
        </w:tc>
        <w:tc>
          <w:tcPr>
            <w:tcW w:w="2410" w:type="dxa"/>
            <w:tcBorders>
              <w:left w:val="single" w:color="auto" w:sz="4" w:space="0"/>
            </w:tcBorders>
            <w:vAlign w:val="center"/>
          </w:tcPr>
          <w:p>
            <w:pPr>
              <w:spacing w:line="460" w:lineRule="exact"/>
              <w:rPr>
                <w:rFonts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8" w:hRule="exact"/>
        </w:trPr>
        <w:tc>
          <w:tcPr>
            <w:tcW w:w="1812" w:type="dxa"/>
            <w:tcBorders>
              <w:top w:val="single" w:color="auto" w:sz="4" w:space="0"/>
              <w:right w:val="single" w:color="auto" w:sz="12" w:space="0"/>
            </w:tcBorders>
            <w:vAlign w:val="center"/>
          </w:tcPr>
          <w:p>
            <w:pPr>
              <w:spacing w:line="360" w:lineRule="auto"/>
              <w:jc w:val="center"/>
              <w:rPr>
                <w:color w:val="auto"/>
                <w:sz w:val="24"/>
              </w:rPr>
            </w:pPr>
            <w:r>
              <w:rPr>
                <w:rFonts w:hAnsi="宋体"/>
                <w:color w:val="auto"/>
                <w:sz w:val="24"/>
              </w:rPr>
              <w:t>总投标价</w:t>
            </w:r>
          </w:p>
        </w:tc>
        <w:tc>
          <w:tcPr>
            <w:tcW w:w="6943" w:type="dxa"/>
            <w:gridSpan w:val="2"/>
            <w:tcBorders>
              <w:top w:val="single" w:color="auto" w:sz="4" w:space="0"/>
              <w:left w:val="single" w:color="auto" w:sz="12" w:space="0"/>
            </w:tcBorders>
            <w:vAlign w:val="center"/>
          </w:tcPr>
          <w:p>
            <w:pPr>
              <w:spacing w:line="360" w:lineRule="auto"/>
              <w:rPr>
                <w:rFonts w:hAnsi="宋体"/>
                <w:color w:val="auto"/>
                <w:sz w:val="24"/>
              </w:rPr>
            </w:pPr>
            <w:r>
              <w:rPr>
                <w:rFonts w:hAnsi="宋体"/>
                <w:color w:val="auto"/>
                <w:sz w:val="24"/>
              </w:rPr>
              <w:t>大写：</w:t>
            </w:r>
            <w:r>
              <w:rPr>
                <w:color w:val="auto"/>
                <w:sz w:val="24"/>
              </w:rPr>
              <w:t xml:space="preserve">                    </w:t>
            </w:r>
            <w:r>
              <w:rPr>
                <w:rFonts w:hAnsi="宋体"/>
                <w:color w:val="auto"/>
                <w:sz w:val="24"/>
              </w:rPr>
              <w:t>元</w:t>
            </w:r>
          </w:p>
          <w:p>
            <w:pPr>
              <w:spacing w:line="360" w:lineRule="auto"/>
              <w:rPr>
                <w:color w:val="auto"/>
                <w:sz w:val="24"/>
              </w:rPr>
            </w:pPr>
            <w:r>
              <w:rPr>
                <w:rFonts w:hAnsi="宋体"/>
                <w:color w:val="auto"/>
                <w:sz w:val="24"/>
              </w:rPr>
              <w:t>小写：</w:t>
            </w:r>
            <w:r>
              <w:rPr>
                <w:color w:val="auto"/>
                <w:sz w:val="24"/>
              </w:rPr>
              <w:t xml:space="preserve">      </w:t>
            </w:r>
            <w:r>
              <w:rPr>
                <w:rFonts w:hint="eastAsia"/>
                <w:color w:val="auto"/>
                <w:sz w:val="24"/>
              </w:rPr>
              <w:t xml:space="preserve"> </w:t>
            </w:r>
            <w:r>
              <w:rPr>
                <w:color w:val="auto"/>
                <w:sz w:val="24"/>
              </w:rPr>
              <w:t xml:space="preserve">             </w:t>
            </w:r>
            <w:r>
              <w:rPr>
                <w:rFonts w:hAnsi="宋体"/>
                <w:color w:val="auto"/>
                <w:sz w:val="24"/>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28" w:hRule="exact"/>
        </w:trPr>
        <w:tc>
          <w:tcPr>
            <w:tcW w:w="1812" w:type="dxa"/>
            <w:tcBorders>
              <w:right w:val="single" w:color="auto" w:sz="12" w:space="0"/>
            </w:tcBorders>
            <w:vAlign w:val="center"/>
          </w:tcPr>
          <w:p>
            <w:pPr>
              <w:spacing w:line="360" w:lineRule="auto"/>
              <w:jc w:val="center"/>
              <w:rPr>
                <w:color w:val="auto"/>
                <w:sz w:val="24"/>
              </w:rPr>
            </w:pPr>
            <w:r>
              <w:rPr>
                <w:rFonts w:hAnsi="宋体"/>
                <w:color w:val="auto"/>
                <w:sz w:val="24"/>
              </w:rPr>
              <w:t>投标保证金</w:t>
            </w:r>
          </w:p>
        </w:tc>
        <w:tc>
          <w:tcPr>
            <w:tcW w:w="6943" w:type="dxa"/>
            <w:gridSpan w:val="2"/>
            <w:tcBorders>
              <w:left w:val="single" w:color="auto" w:sz="12" w:space="0"/>
            </w:tcBorders>
            <w:vAlign w:val="center"/>
          </w:tcPr>
          <w:p>
            <w:pPr>
              <w:spacing w:line="360" w:lineRule="auto"/>
              <w:rPr>
                <w:color w:val="auto"/>
                <w:sz w:val="24"/>
              </w:rPr>
            </w:pPr>
            <w:r>
              <w:rPr>
                <w:rFonts w:hAnsi="宋体"/>
                <w:color w:val="auto"/>
                <w:sz w:val="24"/>
              </w:rPr>
              <w:t>附：投标保证金汇出凭证的复印件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7" w:hRule="exact"/>
        </w:trPr>
        <w:tc>
          <w:tcPr>
            <w:tcW w:w="1812" w:type="dxa"/>
            <w:tcBorders>
              <w:right w:val="single" w:color="auto" w:sz="12" w:space="0"/>
            </w:tcBorders>
            <w:vAlign w:val="center"/>
          </w:tcPr>
          <w:p>
            <w:pPr>
              <w:spacing w:line="360" w:lineRule="auto"/>
              <w:jc w:val="center"/>
              <w:rPr>
                <w:color w:val="auto"/>
                <w:sz w:val="24"/>
              </w:rPr>
            </w:pPr>
            <w:r>
              <w:rPr>
                <w:rFonts w:hAnsi="宋体"/>
                <w:color w:val="auto"/>
                <w:sz w:val="24"/>
              </w:rPr>
              <w:t>备注</w:t>
            </w:r>
          </w:p>
        </w:tc>
        <w:tc>
          <w:tcPr>
            <w:tcW w:w="6943" w:type="dxa"/>
            <w:gridSpan w:val="2"/>
            <w:tcBorders>
              <w:left w:val="single" w:color="auto" w:sz="12" w:space="0"/>
            </w:tcBorders>
            <w:vAlign w:val="center"/>
          </w:tcPr>
          <w:p>
            <w:pPr>
              <w:spacing w:line="360" w:lineRule="auto"/>
              <w:rPr>
                <w:color w:val="auto"/>
                <w:sz w:val="24"/>
              </w:rPr>
            </w:pPr>
          </w:p>
        </w:tc>
      </w:tr>
    </w:tbl>
    <w:p>
      <w:pPr>
        <w:snapToGrid w:val="0"/>
        <w:spacing w:line="460" w:lineRule="exact"/>
        <w:ind w:left="2940" w:leftChars="1400" w:firstLine="723" w:firstLineChars="300"/>
        <w:rPr>
          <w:b/>
          <w:color w:val="auto"/>
          <w:sz w:val="24"/>
        </w:rPr>
      </w:pPr>
    </w:p>
    <w:p>
      <w:pPr>
        <w:spacing w:line="460" w:lineRule="exact"/>
        <w:ind w:firstLine="120" w:firstLineChars="50"/>
        <w:jc w:val="left"/>
        <w:rPr>
          <w:color w:val="auto"/>
          <w:sz w:val="24"/>
        </w:rPr>
      </w:pPr>
      <w:r>
        <w:rPr>
          <w:rFonts w:hint="eastAsia" w:hAnsi="宋体"/>
          <w:color w:val="auto"/>
          <w:sz w:val="24"/>
        </w:rPr>
        <w:t>法定代表人</w:t>
      </w:r>
      <w:r>
        <w:rPr>
          <w:rFonts w:hAnsi="宋体"/>
          <w:color w:val="auto"/>
          <w:sz w:val="24"/>
        </w:rPr>
        <w:t>（经营者）或其委托代理人签字：</w:t>
      </w:r>
      <w:r>
        <w:rPr>
          <w:color w:val="auto"/>
          <w:sz w:val="24"/>
        </w:rPr>
        <w:t xml:space="preserve">          </w:t>
      </w:r>
    </w:p>
    <w:p>
      <w:pPr>
        <w:spacing w:line="460" w:lineRule="exact"/>
        <w:jc w:val="left"/>
        <w:rPr>
          <w:color w:val="auto"/>
          <w:sz w:val="24"/>
        </w:rPr>
      </w:pPr>
      <w:r>
        <w:rPr>
          <w:color w:val="auto"/>
          <w:sz w:val="24"/>
        </w:rPr>
        <w:t xml:space="preserve"> </w:t>
      </w:r>
      <w:r>
        <w:rPr>
          <w:rFonts w:hAnsi="宋体"/>
          <w:color w:val="auto"/>
          <w:sz w:val="24"/>
        </w:rPr>
        <w:t>投标人盖章：</w:t>
      </w:r>
      <w:r>
        <w:rPr>
          <w:color w:val="auto"/>
          <w:sz w:val="24"/>
        </w:rPr>
        <w:t xml:space="preserve">                                                 </w:t>
      </w:r>
    </w:p>
    <w:p>
      <w:pPr>
        <w:spacing w:line="460" w:lineRule="exact"/>
        <w:jc w:val="left"/>
        <w:rPr>
          <w:color w:val="auto"/>
          <w:sz w:val="24"/>
        </w:rPr>
      </w:pPr>
      <w:r>
        <w:rPr>
          <w:color w:val="auto"/>
          <w:sz w:val="24"/>
        </w:rPr>
        <w:t xml:space="preserve"> </w:t>
      </w:r>
      <w:r>
        <w:rPr>
          <w:rFonts w:hAnsi="宋体"/>
          <w:color w:val="auto"/>
          <w:sz w:val="24"/>
        </w:rPr>
        <w:t>日</w:t>
      </w:r>
      <w:r>
        <w:rPr>
          <w:color w:val="auto"/>
          <w:sz w:val="24"/>
        </w:rPr>
        <w:t xml:space="preserve">  </w:t>
      </w:r>
      <w:r>
        <w:rPr>
          <w:rFonts w:hAnsi="宋体"/>
          <w:color w:val="auto"/>
          <w:sz w:val="24"/>
        </w:rPr>
        <w:t>期：</w:t>
      </w:r>
      <w:r>
        <w:rPr>
          <w:color w:val="auto"/>
          <w:sz w:val="24"/>
        </w:rPr>
        <w:t xml:space="preserve">    </w:t>
      </w:r>
      <w:r>
        <w:rPr>
          <w:rFonts w:hAnsi="宋体"/>
          <w:color w:val="auto"/>
          <w:sz w:val="24"/>
        </w:rPr>
        <w:t>年</w:t>
      </w:r>
      <w:r>
        <w:rPr>
          <w:color w:val="auto"/>
          <w:sz w:val="24"/>
        </w:rPr>
        <w:t xml:space="preserve">  </w:t>
      </w:r>
      <w:r>
        <w:rPr>
          <w:rFonts w:hAnsi="宋体"/>
          <w:color w:val="auto"/>
          <w:sz w:val="24"/>
        </w:rPr>
        <w:t>月</w:t>
      </w:r>
      <w:r>
        <w:rPr>
          <w:color w:val="auto"/>
          <w:sz w:val="24"/>
        </w:rPr>
        <w:t xml:space="preserve">  </w:t>
      </w:r>
      <w:r>
        <w:rPr>
          <w:rFonts w:hAnsi="宋体"/>
          <w:color w:val="auto"/>
          <w:sz w:val="24"/>
        </w:rPr>
        <w:t>日</w:t>
      </w:r>
      <w:r>
        <w:rPr>
          <w:color w:val="auto"/>
          <w:sz w:val="24"/>
        </w:rPr>
        <w:t xml:space="preserve"> </w:t>
      </w:r>
    </w:p>
    <w:p>
      <w:pPr>
        <w:spacing w:line="460" w:lineRule="exact"/>
        <w:jc w:val="left"/>
        <w:rPr>
          <w:color w:val="auto"/>
          <w:sz w:val="24"/>
        </w:rPr>
      </w:pPr>
      <w:r>
        <w:rPr>
          <w:rFonts w:hAnsi="宋体"/>
          <w:color w:val="auto"/>
          <w:sz w:val="24"/>
        </w:rPr>
        <w:t>说明：</w:t>
      </w:r>
    </w:p>
    <w:p>
      <w:pPr>
        <w:spacing w:line="460" w:lineRule="exact"/>
        <w:jc w:val="left"/>
        <w:rPr>
          <w:color w:val="auto"/>
          <w:sz w:val="24"/>
        </w:rPr>
      </w:pPr>
      <w:r>
        <w:rPr>
          <w:color w:val="auto"/>
          <w:sz w:val="24"/>
        </w:rPr>
        <w:t>1</w:t>
      </w:r>
      <w:r>
        <w:rPr>
          <w:rFonts w:hAnsi="宋体"/>
          <w:color w:val="auto"/>
          <w:sz w:val="24"/>
        </w:rPr>
        <w:t>、开标一览表按分包填列，每一分包单独一张表；</w:t>
      </w:r>
    </w:p>
    <w:p>
      <w:pPr>
        <w:spacing w:line="460" w:lineRule="exact"/>
        <w:jc w:val="left"/>
        <w:rPr>
          <w:color w:val="auto"/>
          <w:sz w:val="24"/>
        </w:rPr>
      </w:pPr>
      <w:r>
        <w:rPr>
          <w:color w:val="auto"/>
          <w:sz w:val="24"/>
        </w:rPr>
        <w:t>2</w:t>
      </w:r>
      <w:r>
        <w:rPr>
          <w:rFonts w:hAnsi="宋体"/>
          <w:color w:val="auto"/>
          <w:sz w:val="24"/>
        </w:rPr>
        <w:t>、开标一览表在开标大会上当众宣读，务必填写清楚，准确无误。</w:t>
      </w:r>
    </w:p>
    <w:p>
      <w:pPr>
        <w:spacing w:line="460" w:lineRule="exact"/>
        <w:jc w:val="left"/>
        <w:rPr>
          <w:color w:val="auto"/>
          <w:sz w:val="24"/>
        </w:rPr>
      </w:pPr>
      <w:r>
        <w:rPr>
          <w:color w:val="auto"/>
          <w:sz w:val="24"/>
        </w:rPr>
        <w:t>3</w:t>
      </w:r>
      <w:r>
        <w:rPr>
          <w:rFonts w:hAnsi="宋体"/>
          <w:color w:val="auto"/>
          <w:sz w:val="24"/>
        </w:rPr>
        <w:t>、该表可扩展为其他分包。</w:t>
      </w:r>
    </w:p>
    <w:p>
      <w:pPr>
        <w:snapToGrid w:val="0"/>
        <w:spacing w:beforeLines="100" w:afterLines="100" w:line="500" w:lineRule="exact"/>
        <w:jc w:val="left"/>
        <w:outlineLvl w:val="2"/>
        <w:rPr>
          <w:rFonts w:hAnsi="宋体"/>
          <w:color w:val="auto"/>
          <w:sz w:val="24"/>
        </w:rPr>
      </w:pPr>
      <w:r>
        <w:rPr>
          <w:color w:val="auto"/>
          <w:sz w:val="24"/>
        </w:rPr>
        <w:br w:type="page"/>
      </w:r>
      <w:r>
        <w:rPr>
          <w:rFonts w:hAnsi="宋体"/>
          <w:b/>
          <w:bCs/>
          <w:color w:val="auto"/>
          <w:sz w:val="30"/>
          <w:szCs w:val="30"/>
        </w:rPr>
        <w:t>附件</w:t>
      </w:r>
      <w:r>
        <w:rPr>
          <w:b/>
          <w:bCs/>
          <w:color w:val="auto"/>
          <w:sz w:val="30"/>
          <w:szCs w:val="30"/>
        </w:rPr>
        <w:t>3.</w:t>
      </w:r>
      <w:r>
        <w:rPr>
          <w:rFonts w:hAnsi="宋体"/>
          <w:b/>
          <w:color w:val="auto"/>
          <w:sz w:val="30"/>
          <w:szCs w:val="30"/>
        </w:rPr>
        <w:t>投标货物报价详细说明表</w:t>
      </w:r>
      <w:r>
        <w:rPr>
          <w:b/>
          <w:color w:val="auto"/>
          <w:sz w:val="30"/>
          <w:szCs w:val="30"/>
        </w:rPr>
        <w:t xml:space="preserve">               </w:t>
      </w:r>
      <w:r>
        <w:rPr>
          <w:rFonts w:hAnsi="宋体"/>
          <w:color w:val="auto"/>
          <w:sz w:val="24"/>
        </w:rPr>
        <w:t>采购项目名称：</w:t>
      </w:r>
    </w:p>
    <w:tbl>
      <w:tblPr>
        <w:tblStyle w:val="47"/>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709"/>
        <w:gridCol w:w="2372"/>
        <w:gridCol w:w="1418"/>
        <w:gridCol w:w="1163"/>
        <w:gridCol w:w="1156"/>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blHeader/>
          <w:jc w:val="center"/>
        </w:trPr>
        <w:tc>
          <w:tcPr>
            <w:tcW w:w="992" w:type="dxa"/>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ascii="宋体" w:hAnsi="宋体"/>
                <w:b/>
                <w:color w:val="auto"/>
                <w:spacing w:val="-2"/>
                <w:sz w:val="18"/>
                <w:szCs w:val="18"/>
              </w:rPr>
            </w:pPr>
            <w:r>
              <w:rPr>
                <w:rFonts w:hint="eastAsia" w:ascii="宋体" w:hAnsi="宋体"/>
                <w:b/>
                <w:color w:val="auto"/>
                <w:sz w:val="18"/>
                <w:szCs w:val="18"/>
              </w:rPr>
              <w:t>项目名称</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ascii="宋体" w:hAnsi="宋体"/>
                <w:b/>
                <w:color w:val="auto"/>
                <w:spacing w:val="-2"/>
                <w:sz w:val="18"/>
                <w:szCs w:val="18"/>
              </w:rPr>
            </w:pPr>
            <w:r>
              <w:rPr>
                <w:rFonts w:hint="eastAsia" w:ascii="宋体" w:hAnsi="宋体"/>
                <w:b/>
                <w:color w:val="auto"/>
                <w:spacing w:val="-2"/>
                <w:sz w:val="18"/>
                <w:szCs w:val="18"/>
              </w:rPr>
              <w:t>序号</w:t>
            </w:r>
          </w:p>
        </w:tc>
        <w:tc>
          <w:tcPr>
            <w:tcW w:w="2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18"/>
                <w:szCs w:val="18"/>
              </w:rPr>
            </w:pPr>
            <w:r>
              <w:rPr>
                <w:rFonts w:hint="eastAsia" w:ascii="宋体" w:hAnsi="宋体"/>
                <w:b/>
                <w:color w:val="auto"/>
                <w:sz w:val="18"/>
                <w:szCs w:val="18"/>
              </w:rPr>
              <w:t>品名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18"/>
                <w:szCs w:val="18"/>
              </w:rPr>
            </w:pPr>
            <w:r>
              <w:rPr>
                <w:rFonts w:hint="eastAsia" w:ascii="宋体" w:hAnsi="宋体"/>
                <w:b/>
                <w:color w:val="auto"/>
                <w:sz w:val="18"/>
                <w:szCs w:val="18"/>
              </w:rPr>
              <w:t>规格</w:t>
            </w:r>
          </w:p>
        </w:tc>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18"/>
                <w:szCs w:val="18"/>
              </w:rPr>
            </w:pPr>
            <w:r>
              <w:rPr>
                <w:rFonts w:hint="eastAsia" w:ascii="宋体" w:hAnsi="宋体"/>
                <w:b/>
                <w:color w:val="auto"/>
                <w:sz w:val="18"/>
                <w:szCs w:val="18"/>
              </w:rPr>
              <w:t>数量</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18"/>
                <w:szCs w:val="18"/>
              </w:rPr>
            </w:pPr>
            <w:r>
              <w:rPr>
                <w:rFonts w:hint="eastAsia" w:ascii="宋体" w:hAnsi="宋体"/>
                <w:b/>
                <w:color w:val="auto"/>
                <w:sz w:val="18"/>
                <w:szCs w:val="18"/>
              </w:rPr>
              <w:t>报价</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18"/>
                <w:szCs w:val="18"/>
              </w:rPr>
            </w:pPr>
            <w:r>
              <w:rPr>
                <w:rFonts w:hint="eastAsia" w:ascii="宋体" w:hAnsi="宋体"/>
                <w:b/>
                <w:color w:val="auto"/>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992" w:type="dxa"/>
            <w:vMerge w:val="restart"/>
            <w:tcBorders>
              <w:top w:val="single" w:color="auto" w:sz="4" w:space="0"/>
              <w:left w:val="single" w:color="auto" w:sz="4" w:space="0"/>
              <w:right w:val="single" w:color="auto" w:sz="4" w:space="0"/>
            </w:tcBorders>
            <w:vAlign w:val="center"/>
          </w:tcPr>
          <w:p>
            <w:pPr>
              <w:tabs>
                <w:tab w:val="left" w:pos="645"/>
              </w:tabs>
              <w:jc w:val="center"/>
              <w:rPr>
                <w:rFonts w:ascii="宋体" w:hAnsi="宋体"/>
                <w:b/>
                <w:color w:val="auto"/>
                <w:spacing w:val="-2"/>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ascii="宋体" w:hAnsi="宋体"/>
                <w:b/>
                <w:color w:val="auto"/>
                <w:spacing w:val="-2"/>
                <w:sz w:val="18"/>
                <w:szCs w:val="18"/>
              </w:rPr>
            </w:pPr>
            <w:r>
              <w:rPr>
                <w:rFonts w:hint="eastAsia" w:ascii="宋体" w:hAnsi="宋体"/>
                <w:b/>
                <w:color w:val="auto"/>
                <w:spacing w:val="-2"/>
                <w:sz w:val="18"/>
                <w:szCs w:val="18"/>
              </w:rPr>
              <w:t>1</w:t>
            </w:r>
          </w:p>
        </w:tc>
        <w:tc>
          <w:tcPr>
            <w:tcW w:w="2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18"/>
                <w:szCs w:val="18"/>
              </w:rPr>
            </w:pPr>
          </w:p>
        </w:tc>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18"/>
                <w:szCs w:val="18"/>
              </w:rPr>
            </w:pPr>
          </w:p>
        </w:tc>
        <w:tc>
          <w:tcPr>
            <w:tcW w:w="1156" w:type="dxa"/>
            <w:tcBorders>
              <w:top w:val="single" w:color="auto" w:sz="4" w:space="0"/>
              <w:left w:val="single" w:color="auto" w:sz="4" w:space="0"/>
              <w:right w:val="single" w:color="auto" w:sz="4" w:space="0"/>
            </w:tcBorders>
            <w:vAlign w:val="center"/>
          </w:tcPr>
          <w:p>
            <w:pPr>
              <w:jc w:val="center"/>
              <w:rPr>
                <w:rFonts w:ascii="宋体" w:hAnsi="宋体"/>
                <w:b/>
                <w:color w:val="auto"/>
                <w:sz w:val="18"/>
                <w:szCs w:val="18"/>
              </w:rPr>
            </w:pPr>
          </w:p>
        </w:tc>
        <w:tc>
          <w:tcPr>
            <w:tcW w:w="1156" w:type="dxa"/>
            <w:vMerge w:val="restart"/>
            <w:tcBorders>
              <w:top w:val="single" w:color="auto" w:sz="4" w:space="0"/>
              <w:left w:val="single" w:color="auto" w:sz="4" w:space="0"/>
              <w:right w:val="single" w:color="auto" w:sz="4" w:space="0"/>
            </w:tcBorders>
            <w:vAlign w:val="center"/>
          </w:tcPr>
          <w:p>
            <w:pPr>
              <w:jc w:val="center"/>
              <w:rPr>
                <w:rFonts w:ascii="宋体" w:hAnsi="宋体"/>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992" w:type="dxa"/>
            <w:vMerge w:val="continue"/>
            <w:tcBorders>
              <w:left w:val="single" w:color="auto" w:sz="4" w:space="0"/>
              <w:right w:val="single" w:color="auto" w:sz="4" w:space="0"/>
            </w:tcBorders>
            <w:vAlign w:val="center"/>
          </w:tcPr>
          <w:p>
            <w:pPr>
              <w:tabs>
                <w:tab w:val="left" w:pos="645"/>
              </w:tabs>
              <w:jc w:val="center"/>
              <w:rPr>
                <w:rFonts w:ascii="宋体" w:hAnsi="宋体"/>
                <w:b/>
                <w:color w:val="auto"/>
                <w:spacing w:val="-2"/>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ascii="宋体" w:hAnsi="宋体"/>
                <w:b/>
                <w:color w:val="auto"/>
                <w:spacing w:val="-2"/>
                <w:sz w:val="18"/>
                <w:szCs w:val="18"/>
              </w:rPr>
            </w:pPr>
            <w:r>
              <w:rPr>
                <w:rFonts w:hint="eastAsia" w:ascii="宋体" w:hAnsi="宋体"/>
                <w:b/>
                <w:color w:val="auto"/>
                <w:spacing w:val="-2"/>
                <w:sz w:val="18"/>
                <w:szCs w:val="18"/>
              </w:rPr>
              <w:t>2</w:t>
            </w:r>
          </w:p>
        </w:tc>
        <w:tc>
          <w:tcPr>
            <w:tcW w:w="2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18"/>
                <w:szCs w:val="18"/>
              </w:rPr>
            </w:pPr>
          </w:p>
        </w:tc>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18"/>
                <w:szCs w:val="18"/>
              </w:rPr>
            </w:pPr>
          </w:p>
        </w:tc>
        <w:tc>
          <w:tcPr>
            <w:tcW w:w="1156" w:type="dxa"/>
            <w:tcBorders>
              <w:left w:val="single" w:color="auto" w:sz="4" w:space="0"/>
              <w:right w:val="single" w:color="auto" w:sz="4" w:space="0"/>
            </w:tcBorders>
            <w:vAlign w:val="center"/>
          </w:tcPr>
          <w:p>
            <w:pPr>
              <w:jc w:val="center"/>
              <w:rPr>
                <w:rFonts w:ascii="宋体" w:hAnsi="宋体"/>
                <w:b/>
                <w:color w:val="auto"/>
                <w:sz w:val="18"/>
                <w:szCs w:val="18"/>
              </w:rPr>
            </w:pPr>
          </w:p>
        </w:tc>
        <w:tc>
          <w:tcPr>
            <w:tcW w:w="1156" w:type="dxa"/>
            <w:vMerge w:val="continue"/>
            <w:tcBorders>
              <w:left w:val="single" w:color="auto" w:sz="4" w:space="0"/>
              <w:right w:val="single" w:color="auto" w:sz="4" w:space="0"/>
            </w:tcBorders>
          </w:tcPr>
          <w:p>
            <w:pPr>
              <w:jc w:val="center"/>
              <w:rPr>
                <w:rFonts w:ascii="宋体" w:hAnsi="宋体"/>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2" w:type="dxa"/>
            <w:vMerge w:val="continue"/>
            <w:tcBorders>
              <w:left w:val="single" w:color="auto" w:sz="4" w:space="0"/>
              <w:right w:val="single" w:color="auto" w:sz="4" w:space="0"/>
            </w:tcBorders>
            <w:vAlign w:val="center"/>
          </w:tcPr>
          <w:p>
            <w:pPr>
              <w:tabs>
                <w:tab w:val="left" w:pos="645"/>
              </w:tabs>
              <w:jc w:val="center"/>
              <w:rPr>
                <w:rFonts w:ascii="宋体" w:hAnsi="宋体"/>
                <w:b/>
                <w:color w:val="auto"/>
                <w:spacing w:val="-2"/>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ascii="宋体" w:hAnsi="宋体"/>
                <w:b/>
                <w:color w:val="auto"/>
                <w:spacing w:val="-2"/>
                <w:sz w:val="18"/>
                <w:szCs w:val="18"/>
              </w:rPr>
            </w:pPr>
            <w:r>
              <w:rPr>
                <w:rFonts w:hint="eastAsia" w:ascii="宋体" w:hAnsi="宋体"/>
                <w:b/>
                <w:color w:val="auto"/>
                <w:spacing w:val="-2"/>
                <w:sz w:val="18"/>
                <w:szCs w:val="18"/>
              </w:rPr>
              <w:t>3</w:t>
            </w:r>
          </w:p>
        </w:tc>
        <w:tc>
          <w:tcPr>
            <w:tcW w:w="2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18"/>
                <w:szCs w:val="18"/>
              </w:rPr>
            </w:pPr>
          </w:p>
        </w:tc>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18"/>
                <w:szCs w:val="18"/>
              </w:rPr>
            </w:pPr>
          </w:p>
        </w:tc>
        <w:tc>
          <w:tcPr>
            <w:tcW w:w="1156" w:type="dxa"/>
            <w:tcBorders>
              <w:left w:val="single" w:color="auto" w:sz="4" w:space="0"/>
              <w:right w:val="single" w:color="auto" w:sz="4" w:space="0"/>
            </w:tcBorders>
            <w:vAlign w:val="center"/>
          </w:tcPr>
          <w:p>
            <w:pPr>
              <w:jc w:val="center"/>
              <w:rPr>
                <w:rFonts w:ascii="宋体" w:hAnsi="宋体"/>
                <w:b/>
                <w:color w:val="auto"/>
                <w:sz w:val="18"/>
                <w:szCs w:val="18"/>
              </w:rPr>
            </w:pPr>
          </w:p>
        </w:tc>
        <w:tc>
          <w:tcPr>
            <w:tcW w:w="1156" w:type="dxa"/>
            <w:vMerge w:val="continue"/>
            <w:tcBorders>
              <w:left w:val="single" w:color="auto" w:sz="4" w:space="0"/>
              <w:right w:val="single" w:color="auto" w:sz="4" w:space="0"/>
            </w:tcBorders>
          </w:tcPr>
          <w:p>
            <w:pPr>
              <w:jc w:val="center"/>
              <w:rPr>
                <w:rFonts w:ascii="宋体" w:hAnsi="宋体"/>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992" w:type="dxa"/>
            <w:vMerge w:val="continue"/>
            <w:tcBorders>
              <w:left w:val="single" w:color="auto" w:sz="4" w:space="0"/>
              <w:right w:val="single" w:color="auto" w:sz="4" w:space="0"/>
            </w:tcBorders>
            <w:vAlign w:val="center"/>
          </w:tcPr>
          <w:p>
            <w:pPr>
              <w:tabs>
                <w:tab w:val="left" w:pos="645"/>
              </w:tabs>
              <w:jc w:val="center"/>
              <w:rPr>
                <w:rFonts w:ascii="宋体" w:hAnsi="宋体"/>
                <w:b/>
                <w:color w:val="auto"/>
                <w:spacing w:val="-2"/>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ascii="宋体" w:hAnsi="宋体"/>
                <w:b/>
                <w:color w:val="auto"/>
                <w:spacing w:val="-2"/>
                <w:sz w:val="18"/>
                <w:szCs w:val="18"/>
              </w:rPr>
            </w:pPr>
            <w:r>
              <w:rPr>
                <w:rFonts w:hint="eastAsia" w:ascii="宋体" w:hAnsi="宋体"/>
                <w:b/>
                <w:color w:val="auto"/>
                <w:spacing w:val="-2"/>
                <w:sz w:val="18"/>
                <w:szCs w:val="18"/>
              </w:rPr>
              <w:t>4</w:t>
            </w:r>
          </w:p>
        </w:tc>
        <w:tc>
          <w:tcPr>
            <w:tcW w:w="2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18"/>
                <w:szCs w:val="18"/>
              </w:rPr>
            </w:pPr>
          </w:p>
        </w:tc>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18"/>
                <w:szCs w:val="18"/>
              </w:rPr>
            </w:pPr>
          </w:p>
        </w:tc>
        <w:tc>
          <w:tcPr>
            <w:tcW w:w="1156" w:type="dxa"/>
            <w:tcBorders>
              <w:left w:val="single" w:color="auto" w:sz="4" w:space="0"/>
              <w:right w:val="single" w:color="auto" w:sz="4" w:space="0"/>
            </w:tcBorders>
            <w:vAlign w:val="center"/>
          </w:tcPr>
          <w:p>
            <w:pPr>
              <w:jc w:val="center"/>
              <w:rPr>
                <w:rFonts w:ascii="宋体" w:hAnsi="宋体"/>
                <w:b/>
                <w:color w:val="auto"/>
                <w:sz w:val="18"/>
                <w:szCs w:val="18"/>
              </w:rPr>
            </w:pPr>
          </w:p>
        </w:tc>
        <w:tc>
          <w:tcPr>
            <w:tcW w:w="1156" w:type="dxa"/>
            <w:vMerge w:val="continue"/>
            <w:tcBorders>
              <w:left w:val="single" w:color="auto" w:sz="4" w:space="0"/>
              <w:right w:val="single" w:color="auto" w:sz="4" w:space="0"/>
            </w:tcBorders>
          </w:tcPr>
          <w:p>
            <w:pPr>
              <w:jc w:val="center"/>
              <w:rPr>
                <w:rFonts w:ascii="宋体" w:hAnsi="宋体"/>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92" w:type="dxa"/>
            <w:vMerge w:val="continue"/>
            <w:tcBorders>
              <w:left w:val="single" w:color="auto" w:sz="4" w:space="0"/>
              <w:right w:val="single" w:color="auto" w:sz="4" w:space="0"/>
            </w:tcBorders>
            <w:vAlign w:val="center"/>
          </w:tcPr>
          <w:p>
            <w:pPr>
              <w:tabs>
                <w:tab w:val="left" w:pos="645"/>
              </w:tabs>
              <w:jc w:val="center"/>
              <w:rPr>
                <w:rFonts w:ascii="宋体" w:hAnsi="宋体"/>
                <w:b/>
                <w:color w:val="auto"/>
                <w:spacing w:val="-2"/>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ascii="宋体" w:hAnsi="宋体"/>
                <w:b/>
                <w:color w:val="auto"/>
                <w:spacing w:val="-2"/>
                <w:sz w:val="18"/>
                <w:szCs w:val="18"/>
              </w:rPr>
            </w:pPr>
            <w:r>
              <w:rPr>
                <w:rFonts w:hint="eastAsia" w:ascii="宋体" w:hAnsi="宋体"/>
                <w:b/>
                <w:color w:val="auto"/>
                <w:spacing w:val="-2"/>
                <w:sz w:val="18"/>
                <w:szCs w:val="18"/>
              </w:rPr>
              <w:t>5</w:t>
            </w:r>
          </w:p>
        </w:tc>
        <w:tc>
          <w:tcPr>
            <w:tcW w:w="2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18"/>
                <w:szCs w:val="18"/>
              </w:rPr>
            </w:pPr>
          </w:p>
        </w:tc>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18"/>
                <w:szCs w:val="18"/>
              </w:rPr>
            </w:pPr>
          </w:p>
        </w:tc>
        <w:tc>
          <w:tcPr>
            <w:tcW w:w="1156" w:type="dxa"/>
            <w:tcBorders>
              <w:left w:val="single" w:color="auto" w:sz="4" w:space="0"/>
              <w:right w:val="single" w:color="auto" w:sz="4" w:space="0"/>
            </w:tcBorders>
            <w:vAlign w:val="center"/>
          </w:tcPr>
          <w:p>
            <w:pPr>
              <w:jc w:val="center"/>
              <w:rPr>
                <w:rFonts w:ascii="宋体" w:hAnsi="宋体"/>
                <w:b/>
                <w:color w:val="auto"/>
                <w:sz w:val="18"/>
                <w:szCs w:val="18"/>
              </w:rPr>
            </w:pPr>
          </w:p>
        </w:tc>
        <w:tc>
          <w:tcPr>
            <w:tcW w:w="1156" w:type="dxa"/>
            <w:vMerge w:val="continue"/>
            <w:tcBorders>
              <w:left w:val="single" w:color="auto" w:sz="4" w:space="0"/>
              <w:right w:val="single" w:color="auto" w:sz="4" w:space="0"/>
            </w:tcBorders>
          </w:tcPr>
          <w:p>
            <w:pPr>
              <w:jc w:val="center"/>
              <w:rPr>
                <w:rFonts w:ascii="宋体" w:hAnsi="宋体"/>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92" w:type="dxa"/>
            <w:vMerge w:val="continue"/>
            <w:tcBorders>
              <w:left w:val="single" w:color="auto" w:sz="4" w:space="0"/>
              <w:right w:val="single" w:color="auto" w:sz="4" w:space="0"/>
            </w:tcBorders>
            <w:vAlign w:val="center"/>
          </w:tcPr>
          <w:p>
            <w:pPr>
              <w:tabs>
                <w:tab w:val="left" w:pos="645"/>
              </w:tabs>
              <w:jc w:val="center"/>
              <w:rPr>
                <w:rFonts w:ascii="宋体" w:hAnsi="宋体"/>
                <w:b/>
                <w:color w:val="auto"/>
                <w:spacing w:val="-2"/>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ascii="宋体" w:hAnsi="宋体"/>
                <w:b/>
                <w:color w:val="auto"/>
                <w:spacing w:val="-2"/>
                <w:sz w:val="18"/>
                <w:szCs w:val="18"/>
              </w:rPr>
            </w:pPr>
            <w:r>
              <w:rPr>
                <w:rFonts w:hint="eastAsia" w:ascii="宋体" w:hAnsi="宋体"/>
                <w:b/>
                <w:color w:val="auto"/>
                <w:spacing w:val="-2"/>
                <w:sz w:val="18"/>
                <w:szCs w:val="18"/>
              </w:rPr>
              <w:t>6</w:t>
            </w:r>
          </w:p>
        </w:tc>
        <w:tc>
          <w:tcPr>
            <w:tcW w:w="2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18"/>
                <w:szCs w:val="18"/>
              </w:rPr>
            </w:pPr>
          </w:p>
        </w:tc>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18"/>
                <w:szCs w:val="18"/>
              </w:rPr>
            </w:pPr>
          </w:p>
        </w:tc>
        <w:tc>
          <w:tcPr>
            <w:tcW w:w="1156" w:type="dxa"/>
            <w:tcBorders>
              <w:left w:val="single" w:color="auto" w:sz="4" w:space="0"/>
              <w:right w:val="single" w:color="auto" w:sz="4" w:space="0"/>
            </w:tcBorders>
            <w:vAlign w:val="center"/>
          </w:tcPr>
          <w:p>
            <w:pPr>
              <w:jc w:val="center"/>
              <w:rPr>
                <w:rFonts w:ascii="宋体" w:hAnsi="宋体"/>
                <w:b/>
                <w:color w:val="auto"/>
                <w:sz w:val="18"/>
                <w:szCs w:val="18"/>
              </w:rPr>
            </w:pPr>
          </w:p>
        </w:tc>
        <w:tc>
          <w:tcPr>
            <w:tcW w:w="1156" w:type="dxa"/>
            <w:vMerge w:val="continue"/>
            <w:tcBorders>
              <w:left w:val="single" w:color="auto" w:sz="4" w:space="0"/>
              <w:right w:val="single" w:color="auto" w:sz="4" w:space="0"/>
            </w:tcBorders>
          </w:tcPr>
          <w:p>
            <w:pPr>
              <w:jc w:val="center"/>
              <w:rPr>
                <w:rFonts w:ascii="宋体" w:hAnsi="宋体"/>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92" w:type="dxa"/>
            <w:vMerge w:val="continue"/>
            <w:tcBorders>
              <w:left w:val="single" w:color="auto" w:sz="4" w:space="0"/>
              <w:right w:val="single" w:color="auto" w:sz="4" w:space="0"/>
            </w:tcBorders>
            <w:vAlign w:val="center"/>
          </w:tcPr>
          <w:p>
            <w:pPr>
              <w:tabs>
                <w:tab w:val="left" w:pos="645"/>
              </w:tabs>
              <w:jc w:val="center"/>
              <w:rPr>
                <w:rFonts w:ascii="宋体" w:hAnsi="宋体"/>
                <w:b/>
                <w:color w:val="auto"/>
                <w:spacing w:val="-2"/>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ascii="宋体" w:hAnsi="宋体"/>
                <w:b/>
                <w:color w:val="auto"/>
                <w:spacing w:val="-2"/>
                <w:sz w:val="18"/>
                <w:szCs w:val="18"/>
              </w:rPr>
            </w:pPr>
            <w:r>
              <w:rPr>
                <w:rFonts w:hint="eastAsia" w:ascii="宋体" w:hAnsi="宋体"/>
                <w:b/>
                <w:color w:val="auto"/>
                <w:spacing w:val="-2"/>
                <w:sz w:val="18"/>
                <w:szCs w:val="18"/>
              </w:rPr>
              <w:t>7</w:t>
            </w:r>
          </w:p>
        </w:tc>
        <w:tc>
          <w:tcPr>
            <w:tcW w:w="2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18"/>
                <w:szCs w:val="18"/>
              </w:rPr>
            </w:pPr>
          </w:p>
        </w:tc>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18"/>
                <w:szCs w:val="18"/>
              </w:rPr>
            </w:pPr>
          </w:p>
        </w:tc>
        <w:tc>
          <w:tcPr>
            <w:tcW w:w="1156" w:type="dxa"/>
            <w:tcBorders>
              <w:left w:val="single" w:color="auto" w:sz="4" w:space="0"/>
              <w:right w:val="single" w:color="auto" w:sz="4" w:space="0"/>
            </w:tcBorders>
            <w:vAlign w:val="center"/>
          </w:tcPr>
          <w:p>
            <w:pPr>
              <w:jc w:val="center"/>
              <w:rPr>
                <w:rFonts w:ascii="宋体" w:hAnsi="宋体"/>
                <w:b/>
                <w:color w:val="auto"/>
                <w:sz w:val="18"/>
                <w:szCs w:val="18"/>
              </w:rPr>
            </w:pPr>
          </w:p>
        </w:tc>
        <w:tc>
          <w:tcPr>
            <w:tcW w:w="1156" w:type="dxa"/>
            <w:vMerge w:val="continue"/>
            <w:tcBorders>
              <w:left w:val="single" w:color="auto" w:sz="4" w:space="0"/>
              <w:right w:val="single" w:color="auto" w:sz="4" w:space="0"/>
            </w:tcBorders>
          </w:tcPr>
          <w:p>
            <w:pPr>
              <w:jc w:val="center"/>
              <w:rPr>
                <w:rFonts w:ascii="宋体" w:hAnsi="宋体"/>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92" w:type="dxa"/>
            <w:vMerge w:val="continue"/>
            <w:tcBorders>
              <w:left w:val="single" w:color="auto" w:sz="4" w:space="0"/>
              <w:right w:val="single" w:color="auto" w:sz="4" w:space="0"/>
            </w:tcBorders>
            <w:vAlign w:val="center"/>
          </w:tcPr>
          <w:p>
            <w:pPr>
              <w:tabs>
                <w:tab w:val="left" w:pos="645"/>
              </w:tabs>
              <w:jc w:val="center"/>
              <w:rPr>
                <w:rFonts w:ascii="宋体" w:hAnsi="宋体"/>
                <w:b/>
                <w:color w:val="auto"/>
                <w:spacing w:val="-2"/>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ascii="宋体" w:hAnsi="宋体"/>
                <w:b/>
                <w:color w:val="auto"/>
                <w:spacing w:val="-2"/>
                <w:sz w:val="18"/>
                <w:szCs w:val="18"/>
              </w:rPr>
            </w:pPr>
            <w:r>
              <w:rPr>
                <w:rFonts w:hint="eastAsia" w:ascii="宋体" w:hAnsi="宋体"/>
                <w:b/>
                <w:color w:val="auto"/>
                <w:spacing w:val="-2"/>
                <w:sz w:val="18"/>
                <w:szCs w:val="18"/>
              </w:rPr>
              <w:t>8</w:t>
            </w:r>
          </w:p>
        </w:tc>
        <w:tc>
          <w:tcPr>
            <w:tcW w:w="2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18"/>
                <w:szCs w:val="18"/>
              </w:rPr>
            </w:pPr>
          </w:p>
        </w:tc>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18"/>
                <w:szCs w:val="18"/>
              </w:rPr>
            </w:pPr>
          </w:p>
        </w:tc>
        <w:tc>
          <w:tcPr>
            <w:tcW w:w="1156" w:type="dxa"/>
            <w:tcBorders>
              <w:left w:val="single" w:color="auto" w:sz="4" w:space="0"/>
              <w:right w:val="single" w:color="auto" w:sz="4" w:space="0"/>
            </w:tcBorders>
            <w:vAlign w:val="center"/>
          </w:tcPr>
          <w:p>
            <w:pPr>
              <w:jc w:val="center"/>
              <w:rPr>
                <w:rFonts w:ascii="宋体" w:hAnsi="宋体"/>
                <w:b/>
                <w:color w:val="auto"/>
                <w:sz w:val="18"/>
                <w:szCs w:val="18"/>
              </w:rPr>
            </w:pPr>
          </w:p>
        </w:tc>
        <w:tc>
          <w:tcPr>
            <w:tcW w:w="1156" w:type="dxa"/>
            <w:vMerge w:val="continue"/>
            <w:tcBorders>
              <w:left w:val="single" w:color="auto" w:sz="4" w:space="0"/>
              <w:right w:val="single" w:color="auto" w:sz="4" w:space="0"/>
            </w:tcBorders>
          </w:tcPr>
          <w:p>
            <w:pPr>
              <w:jc w:val="center"/>
              <w:rPr>
                <w:rFonts w:ascii="宋体" w:hAnsi="宋体"/>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92" w:type="dxa"/>
            <w:vMerge w:val="continue"/>
            <w:tcBorders>
              <w:left w:val="single" w:color="auto" w:sz="4" w:space="0"/>
              <w:right w:val="single" w:color="auto" w:sz="4" w:space="0"/>
            </w:tcBorders>
            <w:vAlign w:val="center"/>
          </w:tcPr>
          <w:p>
            <w:pPr>
              <w:tabs>
                <w:tab w:val="left" w:pos="645"/>
              </w:tabs>
              <w:jc w:val="center"/>
              <w:rPr>
                <w:rFonts w:ascii="宋体" w:hAnsi="宋体"/>
                <w:b/>
                <w:color w:val="auto"/>
                <w:spacing w:val="-2"/>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ascii="宋体" w:hAnsi="宋体"/>
                <w:b/>
                <w:color w:val="auto"/>
                <w:spacing w:val="-2"/>
                <w:sz w:val="18"/>
                <w:szCs w:val="18"/>
              </w:rPr>
            </w:pPr>
            <w:r>
              <w:rPr>
                <w:rFonts w:hint="eastAsia" w:ascii="宋体" w:hAnsi="宋体"/>
                <w:b/>
                <w:color w:val="auto"/>
                <w:spacing w:val="-2"/>
                <w:sz w:val="18"/>
                <w:szCs w:val="18"/>
              </w:rPr>
              <w:t>9</w:t>
            </w:r>
          </w:p>
        </w:tc>
        <w:tc>
          <w:tcPr>
            <w:tcW w:w="2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18"/>
                <w:szCs w:val="18"/>
              </w:rPr>
            </w:pPr>
          </w:p>
        </w:tc>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18"/>
                <w:szCs w:val="18"/>
              </w:rPr>
            </w:pPr>
          </w:p>
        </w:tc>
        <w:tc>
          <w:tcPr>
            <w:tcW w:w="1156" w:type="dxa"/>
            <w:tcBorders>
              <w:left w:val="single" w:color="auto" w:sz="4" w:space="0"/>
              <w:right w:val="single" w:color="auto" w:sz="4" w:space="0"/>
            </w:tcBorders>
            <w:vAlign w:val="center"/>
          </w:tcPr>
          <w:p>
            <w:pPr>
              <w:jc w:val="center"/>
              <w:rPr>
                <w:rFonts w:ascii="宋体" w:hAnsi="宋体"/>
                <w:b/>
                <w:color w:val="auto"/>
                <w:sz w:val="18"/>
                <w:szCs w:val="18"/>
              </w:rPr>
            </w:pPr>
          </w:p>
        </w:tc>
        <w:tc>
          <w:tcPr>
            <w:tcW w:w="1156" w:type="dxa"/>
            <w:vMerge w:val="continue"/>
            <w:tcBorders>
              <w:left w:val="single" w:color="auto" w:sz="4" w:space="0"/>
              <w:right w:val="single" w:color="auto" w:sz="4" w:space="0"/>
            </w:tcBorders>
            <w:vAlign w:val="center"/>
          </w:tcPr>
          <w:p>
            <w:pPr>
              <w:jc w:val="center"/>
              <w:rPr>
                <w:rFonts w:ascii="宋体" w:hAnsi="宋体"/>
                <w:b/>
                <w:color w:val="auto"/>
                <w:sz w:val="18"/>
                <w:szCs w:val="18"/>
              </w:rPr>
            </w:pPr>
          </w:p>
        </w:tc>
      </w:tr>
    </w:tbl>
    <w:p>
      <w:pPr>
        <w:adjustRightInd w:val="0"/>
        <w:snapToGrid w:val="0"/>
        <w:rPr>
          <w:color w:val="auto"/>
          <w:sz w:val="24"/>
        </w:rPr>
      </w:pPr>
    </w:p>
    <w:p>
      <w:pPr>
        <w:adjustRightInd w:val="0"/>
        <w:snapToGrid w:val="0"/>
        <w:rPr>
          <w:color w:val="auto"/>
          <w:sz w:val="24"/>
        </w:rPr>
      </w:pPr>
      <w:r>
        <w:rPr>
          <w:color w:val="auto"/>
          <w:sz w:val="24"/>
        </w:rPr>
        <w:t xml:space="preserve">投标人（单位章）：                               </w:t>
      </w:r>
    </w:p>
    <w:p>
      <w:pPr>
        <w:adjustRightInd w:val="0"/>
        <w:snapToGrid w:val="0"/>
        <w:rPr>
          <w:color w:val="auto"/>
          <w:sz w:val="24"/>
        </w:rPr>
      </w:pPr>
    </w:p>
    <w:p>
      <w:pPr>
        <w:adjustRightInd w:val="0"/>
        <w:snapToGrid w:val="0"/>
        <w:rPr>
          <w:color w:val="auto"/>
          <w:sz w:val="24"/>
        </w:rPr>
      </w:pPr>
    </w:p>
    <w:p>
      <w:pPr>
        <w:adjustRightInd w:val="0"/>
        <w:snapToGrid w:val="0"/>
        <w:rPr>
          <w:color w:val="auto"/>
          <w:sz w:val="24"/>
        </w:rPr>
      </w:pPr>
      <w:r>
        <w:rPr>
          <w:rFonts w:hint="eastAsia"/>
          <w:color w:val="auto"/>
          <w:sz w:val="24"/>
        </w:rPr>
        <w:t>法定代表人</w:t>
      </w:r>
      <w:r>
        <w:rPr>
          <w:color w:val="auto"/>
          <w:sz w:val="24"/>
        </w:rPr>
        <w:t xml:space="preserve">（经营者）或其授权的代理人(签字)：                        </w:t>
      </w:r>
    </w:p>
    <w:p>
      <w:pPr>
        <w:adjustRightInd w:val="0"/>
        <w:snapToGrid w:val="0"/>
        <w:rPr>
          <w:color w:val="auto"/>
          <w:sz w:val="24"/>
        </w:rPr>
      </w:pPr>
    </w:p>
    <w:p>
      <w:pPr>
        <w:adjustRightInd w:val="0"/>
        <w:snapToGrid w:val="0"/>
        <w:rPr>
          <w:color w:val="auto"/>
          <w:sz w:val="24"/>
        </w:rPr>
      </w:pPr>
    </w:p>
    <w:p>
      <w:pPr>
        <w:adjustRightInd w:val="0"/>
        <w:snapToGrid w:val="0"/>
        <w:rPr>
          <w:color w:val="auto"/>
          <w:sz w:val="24"/>
        </w:rPr>
      </w:pPr>
      <w:r>
        <w:rPr>
          <w:color w:val="auto"/>
          <w:sz w:val="24"/>
        </w:rPr>
        <w:t>日期：     年   月   日</w:t>
      </w:r>
    </w:p>
    <w:p>
      <w:pPr>
        <w:rPr>
          <w:color w:val="auto"/>
          <w:sz w:val="24"/>
        </w:rPr>
      </w:pPr>
    </w:p>
    <w:p>
      <w:pPr>
        <w:rPr>
          <w:color w:val="auto"/>
          <w:sz w:val="24"/>
        </w:rPr>
      </w:pPr>
    </w:p>
    <w:p>
      <w:pPr>
        <w:rPr>
          <w:color w:val="auto"/>
          <w:sz w:val="24"/>
        </w:rPr>
      </w:pPr>
      <w:r>
        <w:rPr>
          <w:color w:val="auto"/>
          <w:sz w:val="24"/>
        </w:rPr>
        <w:t>说明：</w:t>
      </w:r>
    </w:p>
    <w:p>
      <w:pPr>
        <w:rPr>
          <w:color w:val="auto"/>
          <w:sz w:val="24"/>
        </w:rPr>
      </w:pPr>
      <w:r>
        <w:rPr>
          <w:color w:val="auto"/>
          <w:sz w:val="24"/>
        </w:rPr>
        <w:t>1、投标报价为含税发票价格(包括运输费、装卸费、售后服务费、国家规定的税费等)；</w:t>
      </w:r>
    </w:p>
    <w:p>
      <w:pPr>
        <w:rPr>
          <w:color w:val="auto"/>
          <w:sz w:val="24"/>
        </w:rPr>
      </w:pPr>
      <w:r>
        <w:rPr>
          <w:color w:val="auto"/>
          <w:sz w:val="24"/>
        </w:rPr>
        <w:t>2、所有价格均系用人民币表示，单位为元，精确到个数位；</w:t>
      </w:r>
    </w:p>
    <w:p>
      <w:pPr>
        <w:rPr>
          <w:color w:val="auto"/>
          <w:sz w:val="24"/>
        </w:rPr>
      </w:pPr>
      <w:r>
        <w:rPr>
          <w:color w:val="auto"/>
          <w:sz w:val="24"/>
        </w:rPr>
        <w:t>3、价格应按照第二章第14条的要求报价。</w:t>
      </w:r>
    </w:p>
    <w:p>
      <w:pPr>
        <w:pStyle w:val="4"/>
        <w:adjustRightInd/>
        <w:spacing w:beforeLines="100" w:after="0" w:line="360" w:lineRule="exact"/>
        <w:textAlignment w:val="auto"/>
        <w:rPr>
          <w:color w:val="auto"/>
          <w:sz w:val="24"/>
        </w:rPr>
      </w:pPr>
      <w:r>
        <w:rPr>
          <w:color w:val="auto"/>
          <w:sz w:val="24"/>
        </w:rPr>
        <w:br w:type="page"/>
      </w:r>
      <w:r>
        <w:rPr>
          <w:bCs/>
          <w:color w:val="auto"/>
          <w:sz w:val="30"/>
          <w:szCs w:val="30"/>
        </w:rPr>
        <w:t>附件4.</w:t>
      </w:r>
    </w:p>
    <w:p>
      <w:pPr>
        <w:snapToGrid w:val="0"/>
        <w:spacing w:beforeLines="100" w:afterLines="100" w:line="500" w:lineRule="exact"/>
        <w:jc w:val="center"/>
        <w:rPr>
          <w:b/>
          <w:color w:val="auto"/>
          <w:sz w:val="30"/>
          <w:szCs w:val="30"/>
        </w:rPr>
      </w:pPr>
      <w:r>
        <w:rPr>
          <w:rFonts w:hint="eastAsia"/>
          <w:b/>
          <w:color w:val="auto"/>
          <w:sz w:val="30"/>
          <w:szCs w:val="30"/>
        </w:rPr>
        <w:t>法定代表人</w:t>
      </w:r>
      <w:r>
        <w:rPr>
          <w:b/>
          <w:color w:val="auto"/>
          <w:sz w:val="30"/>
          <w:szCs w:val="30"/>
        </w:rPr>
        <w:t>（经营者）授权委托书（格式）</w:t>
      </w:r>
    </w:p>
    <w:p>
      <w:pPr>
        <w:spacing w:line="460" w:lineRule="exact"/>
        <w:ind w:right="-309" w:rightChars="-147" w:firstLine="480" w:firstLineChars="200"/>
        <w:rPr>
          <w:color w:val="auto"/>
          <w:sz w:val="24"/>
        </w:rPr>
      </w:pPr>
      <w:r>
        <w:rPr>
          <w:color w:val="auto"/>
          <w:sz w:val="24"/>
        </w:rPr>
        <w:t>本授权委托书声明：我</w:t>
      </w:r>
      <w:r>
        <w:rPr>
          <w:color w:val="auto"/>
          <w:sz w:val="24"/>
          <w:u w:val="single"/>
        </w:rPr>
        <w:t xml:space="preserve">          </w:t>
      </w:r>
      <w:r>
        <w:rPr>
          <w:color w:val="auto"/>
          <w:sz w:val="24"/>
        </w:rPr>
        <w:t>(姓名)系</w:t>
      </w:r>
      <w:r>
        <w:rPr>
          <w:color w:val="auto"/>
          <w:sz w:val="24"/>
          <w:u w:val="single"/>
        </w:rPr>
        <w:t xml:space="preserve">                       </w:t>
      </w:r>
      <w:r>
        <w:rPr>
          <w:color w:val="auto"/>
          <w:sz w:val="24"/>
        </w:rPr>
        <w:t>(投标单位名称)的</w:t>
      </w:r>
      <w:r>
        <w:rPr>
          <w:rFonts w:hint="eastAsia"/>
          <w:color w:val="auto"/>
          <w:sz w:val="24"/>
        </w:rPr>
        <w:t>法定代表人</w:t>
      </w:r>
      <w:r>
        <w:rPr>
          <w:color w:val="auto"/>
          <w:sz w:val="24"/>
        </w:rPr>
        <w:t>（经营者）</w:t>
      </w:r>
      <w:r>
        <w:rPr>
          <w:rFonts w:hint="eastAsia"/>
          <w:color w:val="auto"/>
          <w:sz w:val="24"/>
        </w:rPr>
        <w:t>，</w:t>
      </w:r>
      <w:r>
        <w:rPr>
          <w:color w:val="auto"/>
          <w:sz w:val="24"/>
        </w:rPr>
        <w:t>现授权委托</w:t>
      </w:r>
      <w:r>
        <w:rPr>
          <w:color w:val="auto"/>
          <w:sz w:val="24"/>
          <w:u w:val="single"/>
        </w:rPr>
        <w:t xml:space="preserve">           </w:t>
      </w:r>
      <w:r>
        <w:rPr>
          <w:color w:val="auto"/>
          <w:sz w:val="24"/>
        </w:rPr>
        <w:t>(姓名)为我单位代理人</w:t>
      </w:r>
      <w:r>
        <w:rPr>
          <w:rFonts w:hint="eastAsia"/>
          <w:color w:val="auto"/>
          <w:sz w:val="24"/>
        </w:rPr>
        <w:t>，</w:t>
      </w:r>
      <w:r>
        <w:rPr>
          <w:color w:val="auto"/>
          <w:sz w:val="24"/>
        </w:rPr>
        <w:t>以本单位的名义参加湖南工程学院的</w:t>
      </w:r>
      <w:r>
        <w:rPr>
          <w:color w:val="auto"/>
          <w:sz w:val="24"/>
          <w:u w:val="single"/>
        </w:rPr>
        <w:t xml:space="preserve">                     </w:t>
      </w:r>
      <w:r>
        <w:rPr>
          <w:color w:val="auto"/>
          <w:sz w:val="24"/>
        </w:rPr>
        <w:t>采购项目的采购活动。委托代理人在报价、谈判、询标过程中所签署的一切文件和处理与之有关的一切事务，我均予以承认。</w:t>
      </w:r>
    </w:p>
    <w:p>
      <w:pPr>
        <w:spacing w:line="460" w:lineRule="exact"/>
        <w:ind w:firstLine="600"/>
        <w:rPr>
          <w:color w:val="auto"/>
          <w:sz w:val="24"/>
        </w:rPr>
      </w:pPr>
      <w:r>
        <w:rPr>
          <w:color w:val="auto"/>
          <w:sz w:val="24"/>
        </w:rPr>
        <w:t>委托代理人无转委权。特此委托。</w:t>
      </w:r>
    </w:p>
    <w:p>
      <w:pPr>
        <w:spacing w:line="460" w:lineRule="exact"/>
        <w:ind w:firstLine="600"/>
        <w:rPr>
          <w:color w:val="auto"/>
          <w:sz w:val="24"/>
        </w:rPr>
      </w:pPr>
      <w:r>
        <w:rPr>
          <w:color w:val="auto"/>
          <w:sz w:val="24"/>
        </w:rPr>
        <w:t>代理人：                 性别：          年龄：</w:t>
      </w:r>
    </w:p>
    <w:p>
      <w:pPr>
        <w:spacing w:line="460" w:lineRule="exact"/>
        <w:ind w:firstLine="600"/>
        <w:rPr>
          <w:color w:val="auto"/>
          <w:sz w:val="24"/>
        </w:rPr>
      </w:pPr>
      <w:r>
        <w:rPr>
          <w:color w:val="auto"/>
          <w:sz w:val="24"/>
        </w:rPr>
        <w:t>单位：                   部门：          职务：</w:t>
      </w:r>
    </w:p>
    <w:p>
      <w:pPr>
        <w:spacing w:line="460" w:lineRule="exact"/>
        <w:ind w:firstLine="600"/>
        <w:rPr>
          <w:color w:val="auto"/>
          <w:sz w:val="24"/>
        </w:rPr>
      </w:pPr>
      <w:r>
        <w:rPr>
          <w:color w:val="auto"/>
          <w:sz w:val="24"/>
        </w:rPr>
        <w:t>投标人名称：（盖章）</w:t>
      </w:r>
    </w:p>
    <w:p>
      <w:pPr>
        <w:spacing w:line="460" w:lineRule="exact"/>
        <w:ind w:firstLine="600"/>
        <w:rPr>
          <w:color w:val="auto"/>
          <w:sz w:val="24"/>
        </w:rPr>
      </w:pPr>
      <w:r>
        <w:rPr>
          <w:rFonts w:hint="eastAsia"/>
          <w:color w:val="auto"/>
          <w:sz w:val="24"/>
        </w:rPr>
        <w:t>法定代表人</w:t>
      </w:r>
      <w:r>
        <w:rPr>
          <w:color w:val="auto"/>
          <w:sz w:val="24"/>
        </w:rPr>
        <w:t xml:space="preserve">（经营者）：（签名）                             </w:t>
      </w:r>
    </w:p>
    <w:p>
      <w:pPr>
        <w:spacing w:line="460" w:lineRule="exact"/>
        <w:ind w:firstLine="5520" w:firstLineChars="2300"/>
        <w:rPr>
          <w:color w:val="auto"/>
          <w:sz w:val="24"/>
        </w:rPr>
      </w:pPr>
      <w:r>
        <w:rPr>
          <w:color w:val="auto"/>
          <w:sz w:val="24"/>
        </w:rPr>
        <w:t>日期：      年  月  日</w:t>
      </w:r>
    </w:p>
    <w:p>
      <w:pPr>
        <w:spacing w:line="460" w:lineRule="exact"/>
        <w:ind w:firstLine="600"/>
        <w:rPr>
          <w:color w:val="auto"/>
          <w:sz w:val="24"/>
        </w:rPr>
      </w:pPr>
    </w:p>
    <w:p>
      <w:pPr>
        <w:spacing w:line="460" w:lineRule="exact"/>
        <w:ind w:firstLine="600"/>
        <w:rPr>
          <w:color w:val="auto"/>
          <w:sz w:val="24"/>
        </w:rPr>
      </w:pPr>
      <w:r>
        <w:rPr>
          <w:color w:val="auto"/>
          <w:sz w:val="24"/>
        </w:rPr>
        <w:t>附：</w:t>
      </w:r>
      <w:r>
        <w:rPr>
          <w:rFonts w:hint="eastAsia"/>
          <w:color w:val="auto"/>
          <w:sz w:val="24"/>
        </w:rPr>
        <w:t>法定代表人</w:t>
      </w:r>
      <w:r>
        <w:rPr>
          <w:color w:val="auto"/>
          <w:sz w:val="24"/>
        </w:rPr>
        <w:t>（经营者）及委托代理人身份证复印件</w:t>
      </w:r>
    </w:p>
    <w:p>
      <w:pPr>
        <w:snapToGrid w:val="0"/>
        <w:spacing w:beforeLines="100" w:afterLines="100" w:line="500" w:lineRule="exact"/>
        <w:outlineLvl w:val="2"/>
        <w:rPr>
          <w:color w:val="auto"/>
          <w:sz w:val="24"/>
        </w:rPr>
      </w:pPr>
      <w:r>
        <w:rPr>
          <w:color w:val="auto"/>
          <w:sz w:val="24"/>
        </w:rPr>
        <w:br w:type="page"/>
      </w:r>
      <w:r>
        <w:rPr>
          <w:b/>
          <w:bCs/>
          <w:color w:val="auto"/>
          <w:sz w:val="30"/>
          <w:szCs w:val="30"/>
        </w:rPr>
        <w:t>附件5.</w:t>
      </w:r>
    </w:p>
    <w:p>
      <w:pPr>
        <w:snapToGrid w:val="0"/>
        <w:spacing w:beforeLines="100" w:afterLines="100" w:line="500" w:lineRule="exact"/>
        <w:jc w:val="center"/>
        <w:rPr>
          <w:b/>
          <w:color w:val="auto"/>
          <w:sz w:val="30"/>
          <w:szCs w:val="30"/>
        </w:rPr>
      </w:pPr>
      <w:r>
        <w:rPr>
          <w:b/>
          <w:color w:val="auto"/>
          <w:sz w:val="30"/>
          <w:szCs w:val="30"/>
        </w:rPr>
        <w:t>营业执照复印件</w:t>
      </w:r>
    </w:p>
    <w:p>
      <w:pPr>
        <w:snapToGrid w:val="0"/>
        <w:spacing w:beforeLines="100" w:afterLines="100" w:line="500" w:lineRule="exact"/>
        <w:outlineLvl w:val="2"/>
        <w:rPr>
          <w:b/>
          <w:bCs/>
          <w:color w:val="auto"/>
          <w:sz w:val="30"/>
          <w:szCs w:val="30"/>
        </w:rPr>
      </w:pPr>
      <w:r>
        <w:rPr>
          <w:b/>
          <w:bCs/>
          <w:color w:val="auto"/>
          <w:sz w:val="30"/>
          <w:szCs w:val="30"/>
        </w:rPr>
        <w:t>附件6.</w:t>
      </w:r>
    </w:p>
    <w:p>
      <w:pPr>
        <w:snapToGrid w:val="0"/>
        <w:spacing w:beforeLines="100" w:afterLines="100" w:line="500" w:lineRule="exact"/>
        <w:jc w:val="center"/>
        <w:rPr>
          <w:b/>
          <w:bCs/>
          <w:color w:val="auto"/>
          <w:sz w:val="30"/>
          <w:szCs w:val="30"/>
        </w:rPr>
      </w:pPr>
      <w:r>
        <w:rPr>
          <w:b/>
          <w:bCs/>
          <w:color w:val="auto"/>
          <w:sz w:val="30"/>
          <w:szCs w:val="30"/>
        </w:rPr>
        <w:t>投标人基本情况表</w:t>
      </w:r>
    </w:p>
    <w:tbl>
      <w:tblPr>
        <w:tblStyle w:val="47"/>
        <w:tblW w:w="824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83"/>
        <w:gridCol w:w="1096"/>
        <w:gridCol w:w="1096"/>
        <w:gridCol w:w="1232"/>
        <w:gridCol w:w="1039"/>
        <w:gridCol w:w="194"/>
        <w:gridCol w:w="519"/>
        <w:gridCol w:w="13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4" w:hRule="atLeast"/>
          <w:jc w:val="center"/>
        </w:trPr>
        <w:tc>
          <w:tcPr>
            <w:tcW w:w="1683" w:type="dxa"/>
            <w:vAlign w:val="center"/>
          </w:tcPr>
          <w:p>
            <w:pPr>
              <w:snapToGrid w:val="0"/>
              <w:jc w:val="center"/>
              <w:rPr>
                <w:color w:val="auto"/>
                <w:sz w:val="24"/>
              </w:rPr>
            </w:pPr>
            <w:r>
              <w:rPr>
                <w:color w:val="auto"/>
                <w:sz w:val="24"/>
              </w:rPr>
              <w:t>投标人名称</w:t>
            </w:r>
          </w:p>
        </w:tc>
        <w:tc>
          <w:tcPr>
            <w:tcW w:w="6557" w:type="dxa"/>
            <w:gridSpan w:val="7"/>
            <w:vAlign w:val="center"/>
          </w:tcPr>
          <w:p>
            <w:pPr>
              <w:snapToGrid w:val="0"/>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1683" w:type="dxa"/>
            <w:vAlign w:val="center"/>
          </w:tcPr>
          <w:p>
            <w:pPr>
              <w:snapToGrid w:val="0"/>
              <w:jc w:val="center"/>
              <w:rPr>
                <w:color w:val="auto"/>
                <w:sz w:val="24"/>
              </w:rPr>
            </w:pPr>
            <w:r>
              <w:rPr>
                <w:color w:val="auto"/>
                <w:sz w:val="24"/>
              </w:rPr>
              <w:t>注册地址</w:t>
            </w:r>
          </w:p>
        </w:tc>
        <w:tc>
          <w:tcPr>
            <w:tcW w:w="3424" w:type="dxa"/>
            <w:gridSpan w:val="3"/>
            <w:vAlign w:val="center"/>
          </w:tcPr>
          <w:p>
            <w:pPr>
              <w:snapToGrid w:val="0"/>
              <w:jc w:val="center"/>
              <w:rPr>
                <w:color w:val="auto"/>
                <w:sz w:val="24"/>
              </w:rPr>
            </w:pPr>
          </w:p>
        </w:tc>
        <w:tc>
          <w:tcPr>
            <w:tcW w:w="1233" w:type="dxa"/>
            <w:gridSpan w:val="2"/>
            <w:vAlign w:val="center"/>
          </w:tcPr>
          <w:p>
            <w:pPr>
              <w:snapToGrid w:val="0"/>
              <w:jc w:val="center"/>
              <w:rPr>
                <w:color w:val="auto"/>
                <w:sz w:val="24"/>
              </w:rPr>
            </w:pPr>
            <w:r>
              <w:rPr>
                <w:color w:val="auto"/>
                <w:sz w:val="24"/>
              </w:rPr>
              <w:t>注册号码</w:t>
            </w:r>
          </w:p>
        </w:tc>
        <w:tc>
          <w:tcPr>
            <w:tcW w:w="1900" w:type="dxa"/>
            <w:gridSpan w:val="2"/>
            <w:vAlign w:val="center"/>
          </w:tcPr>
          <w:p>
            <w:pPr>
              <w:snapToGrid w:val="0"/>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1683" w:type="dxa"/>
            <w:vMerge w:val="restart"/>
            <w:vAlign w:val="center"/>
          </w:tcPr>
          <w:p>
            <w:pPr>
              <w:snapToGrid w:val="0"/>
              <w:jc w:val="center"/>
              <w:rPr>
                <w:color w:val="auto"/>
                <w:sz w:val="24"/>
              </w:rPr>
            </w:pPr>
            <w:r>
              <w:rPr>
                <w:color w:val="auto"/>
                <w:sz w:val="24"/>
              </w:rPr>
              <w:t>联系方式</w:t>
            </w:r>
          </w:p>
        </w:tc>
        <w:tc>
          <w:tcPr>
            <w:tcW w:w="1096" w:type="dxa"/>
            <w:vAlign w:val="center"/>
          </w:tcPr>
          <w:p>
            <w:pPr>
              <w:snapToGrid w:val="0"/>
              <w:jc w:val="center"/>
              <w:rPr>
                <w:color w:val="auto"/>
                <w:sz w:val="24"/>
              </w:rPr>
            </w:pPr>
            <w:r>
              <w:rPr>
                <w:color w:val="auto"/>
                <w:sz w:val="24"/>
              </w:rPr>
              <w:t>联系人</w:t>
            </w:r>
          </w:p>
        </w:tc>
        <w:tc>
          <w:tcPr>
            <w:tcW w:w="2328" w:type="dxa"/>
            <w:gridSpan w:val="2"/>
            <w:vAlign w:val="center"/>
          </w:tcPr>
          <w:p>
            <w:pPr>
              <w:snapToGrid w:val="0"/>
              <w:jc w:val="center"/>
              <w:rPr>
                <w:color w:val="auto"/>
                <w:sz w:val="24"/>
              </w:rPr>
            </w:pPr>
          </w:p>
        </w:tc>
        <w:tc>
          <w:tcPr>
            <w:tcW w:w="1233" w:type="dxa"/>
            <w:gridSpan w:val="2"/>
            <w:vAlign w:val="center"/>
          </w:tcPr>
          <w:p>
            <w:pPr>
              <w:snapToGrid w:val="0"/>
              <w:jc w:val="center"/>
              <w:rPr>
                <w:color w:val="auto"/>
                <w:sz w:val="24"/>
              </w:rPr>
            </w:pPr>
            <w:r>
              <w:rPr>
                <w:color w:val="auto"/>
                <w:sz w:val="24"/>
              </w:rPr>
              <w:t>电    话</w:t>
            </w:r>
          </w:p>
        </w:tc>
        <w:tc>
          <w:tcPr>
            <w:tcW w:w="1900" w:type="dxa"/>
            <w:gridSpan w:val="2"/>
            <w:vAlign w:val="center"/>
          </w:tcPr>
          <w:p>
            <w:pPr>
              <w:snapToGrid w:val="0"/>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1683" w:type="dxa"/>
            <w:vMerge w:val="continue"/>
            <w:vAlign w:val="center"/>
          </w:tcPr>
          <w:p>
            <w:pPr>
              <w:snapToGrid w:val="0"/>
              <w:jc w:val="center"/>
              <w:rPr>
                <w:color w:val="auto"/>
                <w:sz w:val="24"/>
              </w:rPr>
            </w:pPr>
          </w:p>
        </w:tc>
        <w:tc>
          <w:tcPr>
            <w:tcW w:w="1096" w:type="dxa"/>
            <w:vAlign w:val="center"/>
          </w:tcPr>
          <w:p>
            <w:pPr>
              <w:snapToGrid w:val="0"/>
              <w:jc w:val="center"/>
              <w:rPr>
                <w:color w:val="auto"/>
                <w:sz w:val="24"/>
              </w:rPr>
            </w:pPr>
            <w:r>
              <w:rPr>
                <w:color w:val="auto"/>
                <w:sz w:val="24"/>
              </w:rPr>
              <w:t>传  真</w:t>
            </w:r>
          </w:p>
        </w:tc>
        <w:tc>
          <w:tcPr>
            <w:tcW w:w="2328" w:type="dxa"/>
            <w:gridSpan w:val="2"/>
            <w:vAlign w:val="center"/>
          </w:tcPr>
          <w:p>
            <w:pPr>
              <w:snapToGrid w:val="0"/>
              <w:jc w:val="center"/>
              <w:rPr>
                <w:color w:val="auto"/>
                <w:sz w:val="24"/>
              </w:rPr>
            </w:pPr>
          </w:p>
        </w:tc>
        <w:tc>
          <w:tcPr>
            <w:tcW w:w="1233" w:type="dxa"/>
            <w:gridSpan w:val="2"/>
            <w:vAlign w:val="center"/>
          </w:tcPr>
          <w:p>
            <w:pPr>
              <w:snapToGrid w:val="0"/>
              <w:jc w:val="center"/>
              <w:rPr>
                <w:color w:val="auto"/>
                <w:sz w:val="24"/>
              </w:rPr>
            </w:pPr>
            <w:r>
              <w:rPr>
                <w:color w:val="auto"/>
                <w:sz w:val="24"/>
              </w:rPr>
              <w:t>网    址</w:t>
            </w:r>
          </w:p>
        </w:tc>
        <w:tc>
          <w:tcPr>
            <w:tcW w:w="1900" w:type="dxa"/>
            <w:gridSpan w:val="2"/>
            <w:vAlign w:val="center"/>
          </w:tcPr>
          <w:p>
            <w:pPr>
              <w:snapToGrid w:val="0"/>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1683" w:type="dxa"/>
            <w:vAlign w:val="center"/>
          </w:tcPr>
          <w:p>
            <w:pPr>
              <w:snapToGrid w:val="0"/>
              <w:jc w:val="center"/>
              <w:rPr>
                <w:color w:val="auto"/>
                <w:sz w:val="24"/>
              </w:rPr>
            </w:pPr>
            <w:r>
              <w:rPr>
                <w:rFonts w:hint="eastAsia"/>
                <w:color w:val="auto"/>
                <w:sz w:val="24"/>
              </w:rPr>
              <w:t>法定代表人</w:t>
            </w:r>
            <w:r>
              <w:rPr>
                <w:color w:val="auto"/>
                <w:sz w:val="24"/>
              </w:rPr>
              <w:t>（经营者）</w:t>
            </w:r>
          </w:p>
        </w:tc>
        <w:tc>
          <w:tcPr>
            <w:tcW w:w="1096" w:type="dxa"/>
            <w:vAlign w:val="center"/>
          </w:tcPr>
          <w:p>
            <w:pPr>
              <w:snapToGrid w:val="0"/>
              <w:jc w:val="center"/>
              <w:rPr>
                <w:color w:val="auto"/>
                <w:sz w:val="24"/>
              </w:rPr>
            </w:pPr>
            <w:r>
              <w:rPr>
                <w:color w:val="auto"/>
                <w:sz w:val="24"/>
              </w:rPr>
              <w:t>姓名</w:t>
            </w:r>
          </w:p>
        </w:tc>
        <w:tc>
          <w:tcPr>
            <w:tcW w:w="1096" w:type="dxa"/>
            <w:vAlign w:val="center"/>
          </w:tcPr>
          <w:p>
            <w:pPr>
              <w:snapToGrid w:val="0"/>
              <w:jc w:val="center"/>
              <w:rPr>
                <w:color w:val="auto"/>
                <w:sz w:val="24"/>
              </w:rPr>
            </w:pPr>
          </w:p>
        </w:tc>
        <w:tc>
          <w:tcPr>
            <w:tcW w:w="1232" w:type="dxa"/>
            <w:vAlign w:val="center"/>
          </w:tcPr>
          <w:p>
            <w:pPr>
              <w:snapToGrid w:val="0"/>
              <w:jc w:val="center"/>
              <w:rPr>
                <w:color w:val="auto"/>
                <w:sz w:val="24"/>
              </w:rPr>
            </w:pPr>
            <w:r>
              <w:rPr>
                <w:color w:val="auto"/>
                <w:sz w:val="24"/>
              </w:rPr>
              <w:t>技术职称</w:t>
            </w:r>
          </w:p>
        </w:tc>
        <w:tc>
          <w:tcPr>
            <w:tcW w:w="1039" w:type="dxa"/>
            <w:vAlign w:val="center"/>
          </w:tcPr>
          <w:p>
            <w:pPr>
              <w:snapToGrid w:val="0"/>
              <w:jc w:val="center"/>
              <w:rPr>
                <w:color w:val="auto"/>
                <w:sz w:val="24"/>
              </w:rPr>
            </w:pPr>
          </w:p>
        </w:tc>
        <w:tc>
          <w:tcPr>
            <w:tcW w:w="713" w:type="dxa"/>
            <w:gridSpan w:val="2"/>
            <w:vAlign w:val="center"/>
          </w:tcPr>
          <w:p>
            <w:pPr>
              <w:snapToGrid w:val="0"/>
              <w:jc w:val="center"/>
              <w:rPr>
                <w:color w:val="auto"/>
                <w:sz w:val="24"/>
              </w:rPr>
            </w:pPr>
            <w:r>
              <w:rPr>
                <w:color w:val="auto"/>
                <w:sz w:val="24"/>
              </w:rPr>
              <w:t>电话</w:t>
            </w:r>
          </w:p>
        </w:tc>
        <w:tc>
          <w:tcPr>
            <w:tcW w:w="1381" w:type="dxa"/>
            <w:vAlign w:val="center"/>
          </w:tcPr>
          <w:p>
            <w:pPr>
              <w:snapToGrid w:val="0"/>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1683" w:type="dxa"/>
            <w:vAlign w:val="center"/>
          </w:tcPr>
          <w:p>
            <w:pPr>
              <w:snapToGrid w:val="0"/>
              <w:jc w:val="center"/>
              <w:rPr>
                <w:color w:val="auto"/>
                <w:sz w:val="24"/>
              </w:rPr>
            </w:pPr>
            <w:r>
              <w:rPr>
                <w:color w:val="auto"/>
                <w:sz w:val="24"/>
              </w:rPr>
              <w:t>授权的代理人</w:t>
            </w:r>
          </w:p>
        </w:tc>
        <w:tc>
          <w:tcPr>
            <w:tcW w:w="1096" w:type="dxa"/>
            <w:vAlign w:val="center"/>
          </w:tcPr>
          <w:p>
            <w:pPr>
              <w:snapToGrid w:val="0"/>
              <w:jc w:val="center"/>
              <w:rPr>
                <w:color w:val="auto"/>
                <w:sz w:val="24"/>
              </w:rPr>
            </w:pPr>
            <w:r>
              <w:rPr>
                <w:color w:val="auto"/>
                <w:sz w:val="24"/>
              </w:rPr>
              <w:t>姓名</w:t>
            </w:r>
          </w:p>
        </w:tc>
        <w:tc>
          <w:tcPr>
            <w:tcW w:w="1096" w:type="dxa"/>
            <w:vAlign w:val="center"/>
          </w:tcPr>
          <w:p>
            <w:pPr>
              <w:snapToGrid w:val="0"/>
              <w:jc w:val="center"/>
              <w:rPr>
                <w:color w:val="auto"/>
                <w:sz w:val="24"/>
              </w:rPr>
            </w:pPr>
          </w:p>
        </w:tc>
        <w:tc>
          <w:tcPr>
            <w:tcW w:w="1232" w:type="dxa"/>
            <w:vAlign w:val="center"/>
          </w:tcPr>
          <w:p>
            <w:pPr>
              <w:snapToGrid w:val="0"/>
              <w:jc w:val="center"/>
              <w:rPr>
                <w:color w:val="auto"/>
                <w:sz w:val="24"/>
              </w:rPr>
            </w:pPr>
            <w:r>
              <w:rPr>
                <w:color w:val="auto"/>
                <w:sz w:val="24"/>
              </w:rPr>
              <w:t>技术职称</w:t>
            </w:r>
          </w:p>
        </w:tc>
        <w:tc>
          <w:tcPr>
            <w:tcW w:w="1039" w:type="dxa"/>
            <w:vAlign w:val="center"/>
          </w:tcPr>
          <w:p>
            <w:pPr>
              <w:snapToGrid w:val="0"/>
              <w:jc w:val="center"/>
              <w:rPr>
                <w:color w:val="auto"/>
                <w:sz w:val="24"/>
              </w:rPr>
            </w:pPr>
          </w:p>
        </w:tc>
        <w:tc>
          <w:tcPr>
            <w:tcW w:w="713" w:type="dxa"/>
            <w:gridSpan w:val="2"/>
            <w:vAlign w:val="center"/>
          </w:tcPr>
          <w:p>
            <w:pPr>
              <w:snapToGrid w:val="0"/>
              <w:jc w:val="center"/>
              <w:rPr>
                <w:color w:val="auto"/>
                <w:sz w:val="24"/>
              </w:rPr>
            </w:pPr>
            <w:r>
              <w:rPr>
                <w:color w:val="auto"/>
                <w:sz w:val="24"/>
              </w:rPr>
              <w:t>电话</w:t>
            </w:r>
          </w:p>
        </w:tc>
        <w:tc>
          <w:tcPr>
            <w:tcW w:w="1381" w:type="dxa"/>
            <w:vAlign w:val="center"/>
          </w:tcPr>
          <w:p>
            <w:pPr>
              <w:snapToGrid w:val="0"/>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1683" w:type="dxa"/>
            <w:tcBorders>
              <w:bottom w:val="single" w:color="auto" w:sz="4" w:space="0"/>
            </w:tcBorders>
            <w:vAlign w:val="center"/>
          </w:tcPr>
          <w:p>
            <w:pPr>
              <w:snapToGrid w:val="0"/>
              <w:jc w:val="center"/>
              <w:rPr>
                <w:color w:val="auto"/>
                <w:sz w:val="24"/>
              </w:rPr>
            </w:pPr>
            <w:r>
              <w:rPr>
                <w:color w:val="auto"/>
                <w:sz w:val="24"/>
              </w:rPr>
              <w:t>成立时间</w:t>
            </w:r>
          </w:p>
        </w:tc>
        <w:tc>
          <w:tcPr>
            <w:tcW w:w="2192" w:type="dxa"/>
            <w:gridSpan w:val="2"/>
            <w:tcBorders>
              <w:bottom w:val="single" w:color="auto" w:sz="4" w:space="0"/>
            </w:tcBorders>
            <w:vAlign w:val="center"/>
          </w:tcPr>
          <w:p>
            <w:pPr>
              <w:snapToGrid w:val="0"/>
              <w:jc w:val="center"/>
              <w:rPr>
                <w:color w:val="auto"/>
                <w:sz w:val="24"/>
              </w:rPr>
            </w:pPr>
          </w:p>
        </w:tc>
        <w:tc>
          <w:tcPr>
            <w:tcW w:w="4365" w:type="dxa"/>
            <w:gridSpan w:val="5"/>
            <w:tcBorders>
              <w:bottom w:val="single" w:color="auto" w:sz="4" w:space="0"/>
            </w:tcBorders>
            <w:vAlign w:val="center"/>
          </w:tcPr>
          <w:p>
            <w:pPr>
              <w:snapToGrid w:val="0"/>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1683" w:type="dxa"/>
            <w:vAlign w:val="center"/>
          </w:tcPr>
          <w:p>
            <w:pPr>
              <w:snapToGrid w:val="0"/>
              <w:jc w:val="center"/>
              <w:rPr>
                <w:color w:val="auto"/>
                <w:sz w:val="24"/>
              </w:rPr>
            </w:pPr>
            <w:r>
              <w:rPr>
                <w:color w:val="auto"/>
                <w:sz w:val="24"/>
              </w:rPr>
              <w:t>企业资质</w:t>
            </w:r>
          </w:p>
        </w:tc>
        <w:tc>
          <w:tcPr>
            <w:tcW w:w="6557" w:type="dxa"/>
            <w:gridSpan w:val="7"/>
            <w:tcBorders>
              <w:bottom w:val="single" w:color="auto" w:sz="4" w:space="0"/>
            </w:tcBorders>
            <w:vAlign w:val="center"/>
          </w:tcPr>
          <w:p>
            <w:pPr>
              <w:snapToGrid w:val="0"/>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1683" w:type="dxa"/>
            <w:vAlign w:val="center"/>
          </w:tcPr>
          <w:p>
            <w:pPr>
              <w:snapToGrid w:val="0"/>
              <w:jc w:val="center"/>
              <w:rPr>
                <w:color w:val="auto"/>
                <w:sz w:val="24"/>
              </w:rPr>
            </w:pPr>
            <w:r>
              <w:rPr>
                <w:color w:val="auto"/>
                <w:sz w:val="24"/>
              </w:rPr>
              <w:t>营业执照号</w:t>
            </w:r>
          </w:p>
        </w:tc>
        <w:tc>
          <w:tcPr>
            <w:tcW w:w="6557" w:type="dxa"/>
            <w:gridSpan w:val="7"/>
            <w:tcBorders>
              <w:top w:val="single" w:color="auto" w:sz="4" w:space="0"/>
              <w:bottom w:val="single" w:color="auto" w:sz="4" w:space="0"/>
            </w:tcBorders>
            <w:vAlign w:val="center"/>
          </w:tcPr>
          <w:p>
            <w:pPr>
              <w:snapToGrid w:val="0"/>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1683" w:type="dxa"/>
            <w:tcBorders>
              <w:bottom w:val="single" w:color="auto" w:sz="4" w:space="0"/>
            </w:tcBorders>
            <w:vAlign w:val="center"/>
          </w:tcPr>
          <w:p>
            <w:pPr>
              <w:snapToGrid w:val="0"/>
              <w:jc w:val="center"/>
              <w:rPr>
                <w:color w:val="auto"/>
                <w:sz w:val="24"/>
              </w:rPr>
            </w:pPr>
            <w:r>
              <w:rPr>
                <w:color w:val="auto"/>
                <w:sz w:val="24"/>
              </w:rPr>
              <w:t>注册资本金</w:t>
            </w:r>
          </w:p>
        </w:tc>
        <w:tc>
          <w:tcPr>
            <w:tcW w:w="6557" w:type="dxa"/>
            <w:gridSpan w:val="7"/>
            <w:tcBorders>
              <w:top w:val="single" w:color="auto" w:sz="4" w:space="0"/>
              <w:bottom w:val="single" w:color="auto" w:sz="4" w:space="0"/>
            </w:tcBorders>
            <w:vAlign w:val="center"/>
          </w:tcPr>
          <w:p>
            <w:pPr>
              <w:snapToGrid w:val="0"/>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1683" w:type="dxa"/>
            <w:vAlign w:val="center"/>
          </w:tcPr>
          <w:p>
            <w:pPr>
              <w:snapToGrid w:val="0"/>
              <w:jc w:val="center"/>
              <w:rPr>
                <w:color w:val="auto"/>
                <w:sz w:val="24"/>
              </w:rPr>
            </w:pPr>
            <w:r>
              <w:rPr>
                <w:color w:val="auto"/>
                <w:sz w:val="24"/>
              </w:rPr>
              <w:t>开户银行</w:t>
            </w:r>
          </w:p>
        </w:tc>
        <w:tc>
          <w:tcPr>
            <w:tcW w:w="6557" w:type="dxa"/>
            <w:gridSpan w:val="7"/>
            <w:tcBorders>
              <w:top w:val="single" w:color="auto" w:sz="4" w:space="0"/>
              <w:bottom w:val="single" w:color="auto" w:sz="4" w:space="0"/>
            </w:tcBorders>
            <w:vAlign w:val="center"/>
          </w:tcPr>
          <w:p>
            <w:pPr>
              <w:snapToGrid w:val="0"/>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1683" w:type="dxa"/>
            <w:vAlign w:val="center"/>
          </w:tcPr>
          <w:p>
            <w:pPr>
              <w:snapToGrid w:val="0"/>
              <w:jc w:val="center"/>
              <w:rPr>
                <w:color w:val="auto"/>
                <w:sz w:val="24"/>
              </w:rPr>
            </w:pPr>
            <w:r>
              <w:rPr>
                <w:color w:val="auto"/>
                <w:sz w:val="24"/>
              </w:rPr>
              <w:t>账号</w:t>
            </w:r>
          </w:p>
        </w:tc>
        <w:tc>
          <w:tcPr>
            <w:tcW w:w="6557" w:type="dxa"/>
            <w:gridSpan w:val="7"/>
            <w:tcBorders>
              <w:top w:val="single" w:color="auto" w:sz="4" w:space="0"/>
            </w:tcBorders>
            <w:vAlign w:val="center"/>
          </w:tcPr>
          <w:p>
            <w:pPr>
              <w:snapToGrid w:val="0"/>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4" w:hRule="atLeast"/>
          <w:jc w:val="center"/>
        </w:trPr>
        <w:tc>
          <w:tcPr>
            <w:tcW w:w="1683" w:type="dxa"/>
            <w:vAlign w:val="center"/>
          </w:tcPr>
          <w:p>
            <w:pPr>
              <w:snapToGrid w:val="0"/>
              <w:jc w:val="center"/>
              <w:rPr>
                <w:color w:val="auto"/>
                <w:sz w:val="24"/>
              </w:rPr>
            </w:pPr>
            <w:r>
              <w:rPr>
                <w:color w:val="auto"/>
                <w:sz w:val="24"/>
              </w:rPr>
              <w:t>经营范围</w:t>
            </w:r>
          </w:p>
        </w:tc>
        <w:tc>
          <w:tcPr>
            <w:tcW w:w="6557" w:type="dxa"/>
            <w:gridSpan w:val="7"/>
            <w:vAlign w:val="center"/>
          </w:tcPr>
          <w:p>
            <w:pPr>
              <w:snapToGrid w:val="0"/>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3" w:hRule="atLeast"/>
          <w:jc w:val="center"/>
        </w:trPr>
        <w:tc>
          <w:tcPr>
            <w:tcW w:w="1683" w:type="dxa"/>
            <w:vAlign w:val="center"/>
          </w:tcPr>
          <w:p>
            <w:pPr>
              <w:snapToGrid w:val="0"/>
              <w:jc w:val="center"/>
              <w:rPr>
                <w:color w:val="auto"/>
                <w:sz w:val="24"/>
              </w:rPr>
            </w:pPr>
            <w:r>
              <w:rPr>
                <w:color w:val="auto"/>
                <w:sz w:val="24"/>
              </w:rPr>
              <w:t>备    注</w:t>
            </w:r>
          </w:p>
        </w:tc>
        <w:tc>
          <w:tcPr>
            <w:tcW w:w="6557" w:type="dxa"/>
            <w:gridSpan w:val="7"/>
            <w:vAlign w:val="center"/>
          </w:tcPr>
          <w:p>
            <w:pPr>
              <w:snapToGrid w:val="0"/>
              <w:jc w:val="center"/>
              <w:rPr>
                <w:color w:val="auto"/>
                <w:sz w:val="24"/>
              </w:rPr>
            </w:pPr>
          </w:p>
        </w:tc>
      </w:tr>
    </w:tbl>
    <w:p>
      <w:pPr>
        <w:adjustRightInd w:val="0"/>
        <w:snapToGrid w:val="0"/>
        <w:spacing w:line="360" w:lineRule="auto"/>
        <w:ind w:firstLine="118" w:firstLineChars="49"/>
        <w:rPr>
          <w:b/>
          <w:color w:val="auto"/>
          <w:sz w:val="24"/>
        </w:rPr>
      </w:pPr>
      <w:r>
        <w:rPr>
          <w:b/>
          <w:color w:val="auto"/>
          <w:sz w:val="24"/>
        </w:rPr>
        <w:t>附：投标人营业执照副本及其年检合格的证明材料、资质证书副本等材料的复印件。</w:t>
      </w:r>
    </w:p>
    <w:p>
      <w:pPr>
        <w:adjustRightInd w:val="0"/>
        <w:snapToGrid w:val="0"/>
        <w:spacing w:before="50" w:line="360" w:lineRule="auto"/>
        <w:ind w:firstLine="480" w:firstLineChars="200"/>
        <w:rPr>
          <w:color w:val="auto"/>
          <w:sz w:val="24"/>
        </w:rPr>
      </w:pPr>
      <w:bookmarkStart w:id="210" w:name="_Toc294206747"/>
      <w:bookmarkStart w:id="211" w:name="_Toc294186064"/>
      <w:r>
        <w:rPr>
          <w:color w:val="auto"/>
          <w:sz w:val="24"/>
        </w:rPr>
        <w:t xml:space="preserve">投标人（单位章）：                                       </w:t>
      </w:r>
    </w:p>
    <w:p>
      <w:pPr>
        <w:adjustRightInd w:val="0"/>
        <w:snapToGrid w:val="0"/>
        <w:spacing w:before="50" w:line="360" w:lineRule="auto"/>
        <w:ind w:firstLine="480" w:firstLineChars="200"/>
        <w:rPr>
          <w:color w:val="auto"/>
          <w:sz w:val="24"/>
        </w:rPr>
      </w:pPr>
    </w:p>
    <w:p>
      <w:pPr>
        <w:adjustRightInd w:val="0"/>
        <w:snapToGrid w:val="0"/>
        <w:spacing w:before="50" w:line="360" w:lineRule="auto"/>
        <w:ind w:firstLine="480" w:firstLineChars="200"/>
        <w:rPr>
          <w:color w:val="auto"/>
          <w:sz w:val="24"/>
        </w:rPr>
      </w:pPr>
      <w:r>
        <w:rPr>
          <w:rFonts w:hint="eastAsia"/>
          <w:color w:val="auto"/>
          <w:sz w:val="24"/>
        </w:rPr>
        <w:t>法定代表人</w:t>
      </w:r>
      <w:r>
        <w:rPr>
          <w:color w:val="auto"/>
          <w:sz w:val="24"/>
        </w:rPr>
        <w:t xml:space="preserve">（经营者）或其授权的代理人(签字)：                          </w:t>
      </w:r>
    </w:p>
    <w:p>
      <w:pPr>
        <w:adjustRightInd w:val="0"/>
        <w:snapToGrid w:val="0"/>
        <w:spacing w:before="50" w:line="360" w:lineRule="auto"/>
        <w:ind w:firstLine="480" w:firstLineChars="200"/>
        <w:rPr>
          <w:color w:val="auto"/>
          <w:sz w:val="24"/>
        </w:rPr>
      </w:pPr>
    </w:p>
    <w:p>
      <w:pPr>
        <w:adjustRightInd w:val="0"/>
        <w:snapToGrid w:val="0"/>
        <w:spacing w:before="50" w:line="360" w:lineRule="auto"/>
        <w:ind w:firstLine="480" w:firstLineChars="200"/>
        <w:rPr>
          <w:color w:val="auto"/>
          <w:sz w:val="24"/>
        </w:rPr>
      </w:pPr>
      <w:r>
        <w:rPr>
          <w:color w:val="auto"/>
          <w:sz w:val="24"/>
        </w:rPr>
        <w:t>日期：       年   月  日</w:t>
      </w:r>
      <w:bookmarkEnd w:id="210"/>
      <w:bookmarkEnd w:id="211"/>
    </w:p>
    <w:p>
      <w:pPr>
        <w:snapToGrid w:val="0"/>
        <w:spacing w:beforeLines="100" w:afterLines="100" w:line="400" w:lineRule="exact"/>
        <w:jc w:val="left"/>
        <w:outlineLvl w:val="2"/>
        <w:rPr>
          <w:b/>
          <w:bCs/>
          <w:color w:val="auto"/>
          <w:sz w:val="30"/>
          <w:szCs w:val="30"/>
        </w:rPr>
      </w:pPr>
      <w:r>
        <w:rPr>
          <w:color w:val="auto"/>
          <w:sz w:val="24"/>
        </w:rPr>
        <w:br w:type="page"/>
      </w:r>
      <w:r>
        <w:rPr>
          <w:b/>
          <w:bCs/>
          <w:color w:val="auto"/>
          <w:sz w:val="30"/>
          <w:szCs w:val="30"/>
        </w:rPr>
        <w:t>附件7.</w:t>
      </w:r>
    </w:p>
    <w:p>
      <w:pPr>
        <w:snapToGrid w:val="0"/>
        <w:spacing w:beforeLines="100" w:afterLines="100" w:line="400" w:lineRule="exact"/>
        <w:jc w:val="center"/>
        <w:rPr>
          <w:b/>
          <w:color w:val="auto"/>
          <w:sz w:val="30"/>
          <w:szCs w:val="30"/>
        </w:rPr>
      </w:pPr>
      <w:r>
        <w:rPr>
          <w:b/>
          <w:color w:val="auto"/>
          <w:sz w:val="30"/>
          <w:szCs w:val="30"/>
        </w:rPr>
        <w:t>参加采购活动前三年内（新注册单位自营业至今）在经营活动中没有重大违法记录的书面声明</w:t>
      </w:r>
    </w:p>
    <w:p>
      <w:pPr>
        <w:adjustRightInd w:val="0"/>
        <w:snapToGrid w:val="0"/>
        <w:spacing w:beforeLines="50" w:line="360" w:lineRule="auto"/>
        <w:ind w:left="-88" w:leftChars="-42"/>
        <w:rPr>
          <w:color w:val="auto"/>
          <w:sz w:val="24"/>
        </w:rPr>
      </w:pPr>
      <w:r>
        <w:rPr>
          <w:color w:val="auto"/>
          <w:sz w:val="24"/>
        </w:rPr>
        <w:t>致</w:t>
      </w:r>
      <w:r>
        <w:rPr>
          <w:color w:val="auto"/>
          <w:sz w:val="24"/>
          <w:u w:val="single"/>
        </w:rPr>
        <w:t>湖南工程学院</w:t>
      </w:r>
      <w:r>
        <w:rPr>
          <w:color w:val="auto"/>
          <w:sz w:val="24"/>
        </w:rPr>
        <w:t>：</w:t>
      </w:r>
    </w:p>
    <w:p>
      <w:pPr>
        <w:widowControl/>
        <w:adjustRightInd w:val="0"/>
        <w:snapToGrid w:val="0"/>
        <w:spacing w:beforeLines="50" w:line="360" w:lineRule="auto"/>
        <w:ind w:firstLine="480" w:firstLineChars="200"/>
        <w:rPr>
          <w:color w:val="auto"/>
          <w:sz w:val="24"/>
        </w:rPr>
      </w:pPr>
      <w:r>
        <w:rPr>
          <w:color w:val="auto"/>
          <w:sz w:val="24"/>
        </w:rPr>
        <w:t>我单位在参加采购活动前三年内（新注册单位自营业至今）在经营活动中没有重大违法记录，包括：</w:t>
      </w:r>
    </w:p>
    <w:p>
      <w:pPr>
        <w:widowControl/>
        <w:adjustRightInd w:val="0"/>
        <w:snapToGrid w:val="0"/>
        <w:spacing w:beforeLines="50" w:line="360" w:lineRule="auto"/>
        <w:ind w:firstLine="480" w:firstLineChars="200"/>
        <w:rPr>
          <w:color w:val="auto"/>
          <w:sz w:val="24"/>
        </w:rPr>
      </w:pPr>
      <w:r>
        <w:rPr>
          <w:color w:val="auto"/>
          <w:sz w:val="24"/>
        </w:rPr>
        <w:t>1.</w:t>
      </w:r>
      <w:r>
        <w:rPr>
          <w:rFonts w:hint="eastAsia"/>
          <w:color w:val="auto"/>
          <w:sz w:val="24"/>
        </w:rPr>
        <w:t>法定代表人</w:t>
      </w:r>
      <w:r>
        <w:rPr>
          <w:color w:val="auto"/>
          <w:sz w:val="24"/>
        </w:rPr>
        <w:t>（经营者）、董事、监事、高级管理人员因经营活动中的违法行为受到行政处罚；</w:t>
      </w:r>
    </w:p>
    <w:p>
      <w:pPr>
        <w:widowControl/>
        <w:adjustRightInd w:val="0"/>
        <w:snapToGrid w:val="0"/>
        <w:spacing w:beforeLines="50" w:line="360" w:lineRule="auto"/>
        <w:ind w:firstLine="480" w:firstLineChars="200"/>
        <w:rPr>
          <w:color w:val="auto"/>
          <w:sz w:val="24"/>
        </w:rPr>
      </w:pPr>
      <w:r>
        <w:rPr>
          <w:color w:val="auto"/>
          <w:sz w:val="24"/>
        </w:rPr>
        <w:t>2.</w:t>
      </w:r>
      <w:r>
        <w:rPr>
          <w:rFonts w:hint="eastAsia"/>
          <w:color w:val="auto"/>
          <w:sz w:val="24"/>
        </w:rPr>
        <w:t>法定代表人</w:t>
      </w:r>
      <w:r>
        <w:rPr>
          <w:color w:val="auto"/>
          <w:sz w:val="24"/>
        </w:rPr>
        <w:t>（经营者）、董事、监事、高级管理人员因经营活动中的违法行为受到刑事处罚。</w:t>
      </w:r>
    </w:p>
    <w:p>
      <w:pPr>
        <w:widowControl/>
        <w:adjustRightInd w:val="0"/>
        <w:snapToGrid w:val="0"/>
        <w:spacing w:beforeLines="50" w:line="360" w:lineRule="auto"/>
        <w:ind w:firstLine="556" w:firstLineChars="232"/>
        <w:rPr>
          <w:color w:val="auto"/>
          <w:sz w:val="24"/>
        </w:rPr>
      </w:pPr>
      <w:r>
        <w:rPr>
          <w:color w:val="auto"/>
          <w:sz w:val="24"/>
        </w:rPr>
        <w:t>特此声明！</w:t>
      </w:r>
    </w:p>
    <w:p>
      <w:pPr>
        <w:widowControl/>
        <w:adjustRightInd w:val="0"/>
        <w:snapToGrid w:val="0"/>
        <w:spacing w:beforeLines="50" w:line="360" w:lineRule="auto"/>
        <w:ind w:firstLine="420"/>
        <w:rPr>
          <w:color w:val="auto"/>
          <w:sz w:val="24"/>
        </w:rPr>
      </w:pPr>
    </w:p>
    <w:p>
      <w:pPr>
        <w:adjustRightInd w:val="0"/>
        <w:snapToGrid w:val="0"/>
        <w:spacing w:beforeLines="50" w:line="360" w:lineRule="auto"/>
        <w:ind w:right="1170" w:rightChars="557"/>
        <w:jc w:val="right"/>
        <w:rPr>
          <w:color w:val="auto"/>
          <w:sz w:val="24"/>
        </w:rPr>
      </w:pPr>
      <w:r>
        <w:rPr>
          <w:color w:val="auto"/>
          <w:sz w:val="24"/>
        </w:rPr>
        <w:t>投标人（单位章）：</w:t>
      </w:r>
    </w:p>
    <w:p>
      <w:pPr>
        <w:adjustRightInd w:val="0"/>
        <w:snapToGrid w:val="0"/>
        <w:spacing w:beforeLines="50" w:line="360" w:lineRule="auto"/>
        <w:ind w:right="1170" w:rightChars="557"/>
        <w:jc w:val="right"/>
        <w:rPr>
          <w:color w:val="auto"/>
          <w:sz w:val="24"/>
        </w:rPr>
      </w:pPr>
      <w:r>
        <w:rPr>
          <w:rFonts w:hint="eastAsia"/>
          <w:color w:val="auto"/>
          <w:sz w:val="24"/>
        </w:rPr>
        <w:t>法定代表人</w:t>
      </w:r>
      <w:r>
        <w:rPr>
          <w:color w:val="auto"/>
          <w:sz w:val="24"/>
        </w:rPr>
        <w:t xml:space="preserve">（经营者）（签字或盖章）：                              </w:t>
      </w:r>
    </w:p>
    <w:p>
      <w:pPr>
        <w:tabs>
          <w:tab w:val="left" w:pos="6075"/>
        </w:tabs>
        <w:spacing w:beforeLines="50" w:afterLines="50" w:line="360" w:lineRule="atLeast"/>
        <w:ind w:right="480"/>
        <w:jc w:val="center"/>
        <w:rPr>
          <w:color w:val="auto"/>
          <w:sz w:val="24"/>
        </w:rPr>
      </w:pPr>
      <w:r>
        <w:rPr>
          <w:color w:val="auto"/>
          <w:sz w:val="24"/>
        </w:rPr>
        <w:t xml:space="preserve">                                                  日期：</w:t>
      </w:r>
    </w:p>
    <w:p>
      <w:pPr>
        <w:spacing w:line="360" w:lineRule="exact"/>
        <w:outlineLvl w:val="2"/>
        <w:rPr>
          <w:color w:val="auto"/>
          <w:sz w:val="24"/>
        </w:rPr>
      </w:pPr>
      <w:r>
        <w:rPr>
          <w:color w:val="auto"/>
          <w:sz w:val="24"/>
        </w:rPr>
        <w:br w:type="page"/>
      </w:r>
      <w:r>
        <w:rPr>
          <w:b/>
          <w:bCs/>
          <w:color w:val="auto"/>
          <w:sz w:val="30"/>
          <w:szCs w:val="30"/>
        </w:rPr>
        <w:t>附件8</w:t>
      </w:r>
    </w:p>
    <w:p>
      <w:pPr>
        <w:spacing w:line="360" w:lineRule="exact"/>
        <w:outlineLvl w:val="2"/>
        <w:rPr>
          <w:b/>
          <w:bCs/>
          <w:color w:val="auto"/>
          <w:sz w:val="28"/>
          <w:szCs w:val="28"/>
        </w:rPr>
      </w:pPr>
    </w:p>
    <w:p>
      <w:pPr>
        <w:rPr>
          <w:color w:val="auto"/>
          <w:sz w:val="30"/>
          <w:szCs w:val="30"/>
        </w:rPr>
      </w:pPr>
      <w:r>
        <w:rPr>
          <w:rFonts w:hint="eastAsia"/>
          <w:b/>
          <w:bCs/>
          <w:color w:val="auto"/>
          <w:sz w:val="28"/>
          <w:szCs w:val="28"/>
        </w:rPr>
        <w:t>提供依法缴纳税收和缴纳社会保险证明材料的复印件。</w:t>
      </w: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p>
    <w:p>
      <w:pPr>
        <w:spacing w:line="360" w:lineRule="exact"/>
        <w:outlineLvl w:val="2"/>
        <w:rPr>
          <w:b/>
          <w:bCs/>
          <w:color w:val="auto"/>
          <w:sz w:val="28"/>
          <w:szCs w:val="28"/>
        </w:rPr>
      </w:pPr>
      <w:r>
        <w:rPr>
          <w:b/>
          <w:bCs/>
          <w:color w:val="auto"/>
          <w:sz w:val="30"/>
          <w:szCs w:val="30"/>
        </w:rPr>
        <w:br w:type="page"/>
      </w:r>
      <w:r>
        <w:rPr>
          <w:b/>
          <w:bCs/>
          <w:color w:val="auto"/>
          <w:sz w:val="30"/>
          <w:szCs w:val="30"/>
        </w:rPr>
        <w:t>附件9</w:t>
      </w:r>
    </w:p>
    <w:p>
      <w:pPr>
        <w:rPr>
          <w:b/>
          <w:bCs/>
          <w:color w:val="auto"/>
          <w:sz w:val="28"/>
          <w:szCs w:val="28"/>
        </w:rPr>
      </w:pPr>
    </w:p>
    <w:p>
      <w:pPr>
        <w:pStyle w:val="4"/>
        <w:rPr>
          <w:bCs/>
          <w:color w:val="auto"/>
          <w:sz w:val="30"/>
          <w:szCs w:val="30"/>
        </w:rPr>
      </w:pPr>
      <w:r>
        <w:rPr>
          <w:rFonts w:hint="eastAsia"/>
          <w:bCs/>
          <w:color w:val="auto"/>
          <w:sz w:val="30"/>
          <w:szCs w:val="30"/>
        </w:rPr>
        <w:t>法律、行政法规规定的其他资格条件证明材料</w:t>
      </w:r>
    </w:p>
    <w:p>
      <w:pPr>
        <w:pStyle w:val="4"/>
        <w:rPr>
          <w:b w:val="0"/>
          <w:bCs/>
          <w:color w:val="auto"/>
          <w:sz w:val="24"/>
        </w:rPr>
      </w:pPr>
      <w:r>
        <w:rPr>
          <w:rFonts w:hint="eastAsia"/>
          <w:b w:val="0"/>
          <w:bCs/>
          <w:color w:val="auto"/>
          <w:sz w:val="24"/>
        </w:rPr>
        <w:t>备注：包括投标人从事投标货物的生产、销售或经营、安装、集成等证明材料的复印件。</w:t>
      </w:r>
    </w:p>
    <w:p>
      <w:pPr>
        <w:pStyle w:val="18"/>
        <w:spacing w:before="46" w:line="240" w:lineRule="auto"/>
        <w:ind w:left="15" w:leftChars="7" w:right="-218" w:rightChars="-104" w:firstLine="801" w:firstLineChars="267"/>
        <w:rPr>
          <w:bCs/>
          <w:color w:val="auto"/>
          <w:sz w:val="30"/>
          <w:szCs w:val="30"/>
        </w:rPr>
      </w:pPr>
      <w:r>
        <w:rPr>
          <w:bCs/>
          <w:color w:val="auto"/>
          <w:sz w:val="30"/>
          <w:szCs w:val="30"/>
        </w:rPr>
        <w:br w:type="page"/>
      </w:r>
    </w:p>
    <w:p>
      <w:pPr>
        <w:pStyle w:val="4"/>
        <w:rPr>
          <w:bCs/>
          <w:color w:val="auto"/>
          <w:sz w:val="30"/>
          <w:szCs w:val="30"/>
        </w:rPr>
      </w:pPr>
      <w:r>
        <w:rPr>
          <w:rFonts w:hint="eastAsia"/>
          <w:bCs/>
          <w:color w:val="auto"/>
          <w:sz w:val="30"/>
          <w:szCs w:val="30"/>
        </w:rPr>
        <w:t>附件10.</w:t>
      </w:r>
    </w:p>
    <w:p>
      <w:pPr>
        <w:jc w:val="center"/>
        <w:rPr>
          <w:color w:val="auto"/>
          <w:sz w:val="30"/>
          <w:szCs w:val="30"/>
        </w:rPr>
      </w:pPr>
      <w:r>
        <w:rPr>
          <w:color w:val="auto"/>
          <w:sz w:val="30"/>
          <w:szCs w:val="30"/>
        </w:rPr>
        <w:t>技术响应文件</w:t>
      </w:r>
    </w:p>
    <w:bookmarkEnd w:id="209"/>
    <w:p>
      <w:pPr>
        <w:pStyle w:val="18"/>
        <w:spacing w:before="46" w:line="240" w:lineRule="auto"/>
        <w:ind w:right="-218" w:rightChars="-104" w:firstLine="120" w:firstLineChars="50"/>
        <w:rPr>
          <w:color w:val="auto"/>
        </w:rPr>
      </w:pPr>
      <w:r>
        <w:rPr>
          <w:rFonts w:hint="eastAsia"/>
          <w:color w:val="auto"/>
        </w:rPr>
        <w:t>1.</w:t>
      </w:r>
      <w:r>
        <w:rPr>
          <w:color w:val="auto"/>
        </w:rPr>
        <w:t>投标货物技术简要说明</w:t>
      </w:r>
    </w:p>
    <w:p>
      <w:pPr>
        <w:pStyle w:val="18"/>
        <w:spacing w:before="46" w:line="240" w:lineRule="auto"/>
        <w:ind w:left="108" w:right="-218" w:rightChars="-104"/>
        <w:rPr>
          <w:color w:val="auto"/>
        </w:rPr>
      </w:pPr>
      <w:r>
        <w:rPr>
          <w:rFonts w:hint="eastAsia"/>
          <w:color w:val="auto"/>
        </w:rPr>
        <w:t>2</w:t>
      </w:r>
      <w:r>
        <w:rPr>
          <w:color w:val="auto"/>
        </w:rPr>
        <w:t>.*售后服务承诺书（产品售后服务承诺书及供货时效说明书）</w:t>
      </w:r>
    </w:p>
    <w:p>
      <w:pPr>
        <w:pStyle w:val="18"/>
        <w:spacing w:before="77" w:line="240" w:lineRule="auto"/>
        <w:ind w:left="108" w:right="-218" w:rightChars="-104"/>
        <w:rPr>
          <w:color w:val="auto"/>
        </w:rPr>
      </w:pPr>
      <w:r>
        <w:rPr>
          <w:rFonts w:hint="eastAsia"/>
          <w:color w:val="auto"/>
        </w:rPr>
        <w:t>3</w:t>
      </w:r>
      <w:r>
        <w:rPr>
          <w:color w:val="auto"/>
        </w:rPr>
        <w:t>.货物制造、验收规范等</w:t>
      </w:r>
    </w:p>
    <w:p>
      <w:pPr>
        <w:pStyle w:val="18"/>
        <w:spacing w:before="77" w:line="240" w:lineRule="auto"/>
        <w:ind w:left="108" w:right="-218" w:rightChars="-104"/>
        <w:rPr>
          <w:b/>
          <w:bCs/>
          <w:color w:val="auto"/>
          <w:spacing w:val="-6"/>
        </w:rPr>
      </w:pPr>
      <w:r>
        <w:rPr>
          <w:rFonts w:hint="eastAsia"/>
          <w:color w:val="auto"/>
        </w:rPr>
        <w:t>4</w:t>
      </w:r>
      <w:r>
        <w:rPr>
          <w:rFonts w:hint="eastAsia"/>
          <w:b/>
          <w:bCs/>
          <w:color w:val="auto"/>
        </w:rPr>
        <w:t>.</w:t>
      </w:r>
      <w:r>
        <w:rPr>
          <w:rFonts w:hint="eastAsia"/>
          <w:b/>
          <w:bCs/>
          <w:color w:val="auto"/>
          <w:spacing w:val="-6"/>
          <w:u w:val="single"/>
        </w:rPr>
        <w:t>投标产品的产品介绍、技术参数</w:t>
      </w:r>
    </w:p>
    <w:p>
      <w:pPr>
        <w:tabs>
          <w:tab w:val="left" w:pos="6075"/>
        </w:tabs>
        <w:spacing w:beforeLines="50" w:afterLines="50"/>
        <w:ind w:right="480"/>
        <w:jc w:val="center"/>
        <w:rPr>
          <w:b/>
          <w:bCs/>
          <w:color w:val="FFFFFF"/>
          <w:sz w:val="24"/>
        </w:rPr>
      </w:pPr>
      <w:r>
        <w:rPr>
          <w:rFonts w:hint="eastAsia"/>
          <w:sz w:val="24"/>
        </w:rPr>
        <w:br w:type="page"/>
      </w:r>
      <w:r>
        <w:rPr>
          <w:b/>
          <w:bCs/>
          <w:color w:val="FFFFFF"/>
          <w:sz w:val="32"/>
          <w:szCs w:val="32"/>
        </w:rPr>
        <w:t>中标单位</w:t>
      </w:r>
      <w:r>
        <w:rPr>
          <w:b/>
          <w:bCs/>
          <w:color w:val="FFFFFF"/>
          <w:sz w:val="28"/>
          <w:szCs w:val="28"/>
        </w:rPr>
        <w:t>投标文件</w:t>
      </w:r>
      <w:r>
        <w:rPr>
          <w:b/>
          <w:bCs/>
          <w:color w:val="FFFFFF"/>
          <w:sz w:val="24"/>
        </w:rPr>
        <w:t>电子稿发到邮箱</w:t>
      </w:r>
    </w:p>
    <w:p>
      <w:pPr>
        <w:tabs>
          <w:tab w:val="left" w:pos="6075"/>
        </w:tabs>
        <w:spacing w:beforeLines="50" w:afterLines="50"/>
        <w:ind w:right="480"/>
        <w:jc w:val="center"/>
        <w:rPr>
          <w:b/>
          <w:bCs/>
          <w:color w:val="FF0000"/>
          <w:sz w:val="24"/>
        </w:rPr>
      </w:pPr>
      <w:r>
        <w:rPr>
          <w:b/>
          <w:bCs/>
          <w:color w:val="FF0000"/>
          <w:sz w:val="24"/>
        </w:rPr>
        <w:t>投标单位将退款通知单电子稿发到40055@ hnie.edu.cn邮箱</w:t>
      </w:r>
    </w:p>
    <w:p>
      <w:pPr>
        <w:pBdr>
          <w:bottom w:val="single" w:color="auto" w:sz="4" w:space="0"/>
        </w:pBdr>
        <w:ind w:right="-313" w:rightChars="-149"/>
        <w:jc w:val="center"/>
        <w:rPr>
          <w:b/>
          <w:bCs/>
          <w:sz w:val="30"/>
          <w:szCs w:val="30"/>
        </w:rPr>
      </w:pPr>
      <w:r>
        <w:rPr>
          <w:b/>
          <w:bCs/>
          <w:sz w:val="30"/>
          <w:szCs w:val="30"/>
        </w:rPr>
        <w:t>附件1</w:t>
      </w:r>
      <w:r>
        <w:rPr>
          <w:rFonts w:hint="eastAsia"/>
          <w:b/>
          <w:bCs/>
          <w:sz w:val="30"/>
          <w:szCs w:val="30"/>
        </w:rPr>
        <w:t>1</w:t>
      </w:r>
      <w:r>
        <w:rPr>
          <w:b/>
          <w:bCs/>
          <w:sz w:val="30"/>
          <w:szCs w:val="30"/>
        </w:rPr>
        <w:t>.</w:t>
      </w:r>
      <w:r>
        <w:rPr>
          <w:b/>
          <w:bCs/>
          <w:sz w:val="28"/>
          <w:szCs w:val="28"/>
        </w:rPr>
        <w:t xml:space="preserve">* </w:t>
      </w:r>
      <w:r>
        <w:rPr>
          <w:b/>
          <w:bCs/>
          <w:sz w:val="30"/>
          <w:szCs w:val="30"/>
        </w:rPr>
        <w:t>保证金（</w:t>
      </w:r>
      <w:r>
        <w:rPr>
          <w:b/>
          <w:bCs/>
          <w:sz w:val="24"/>
        </w:rPr>
        <w:t>纸质稿不装订在投标响应文件中，投标当天交给工作人员）</w:t>
      </w:r>
    </w:p>
    <w:p>
      <w:pPr>
        <w:ind w:left="-420" w:leftChars="-200"/>
        <w:jc w:val="center"/>
        <w:rPr>
          <w:rFonts w:eastAsia="黑体"/>
          <w:sz w:val="44"/>
          <w:szCs w:val="44"/>
        </w:rPr>
      </w:pPr>
    </w:p>
    <w:p>
      <w:pPr>
        <w:jc w:val="center"/>
        <w:rPr>
          <w:rFonts w:eastAsia="黑体"/>
          <w:sz w:val="44"/>
          <w:szCs w:val="44"/>
        </w:rPr>
      </w:pPr>
      <w:r>
        <w:rPr>
          <w:rFonts w:eastAsia="黑体"/>
          <w:sz w:val="44"/>
          <w:szCs w:val="44"/>
        </w:rPr>
        <w:t>投标保证金退款通知单</w:t>
      </w:r>
    </w:p>
    <w:p>
      <w:pPr>
        <w:spacing w:line="480" w:lineRule="exact"/>
        <w:ind w:left="840" w:leftChars="-200" w:hanging="1260" w:hangingChars="394"/>
        <w:jc w:val="left"/>
        <w:rPr>
          <w:rFonts w:eastAsia="楷体_GB2312"/>
          <w:sz w:val="32"/>
          <w:szCs w:val="32"/>
        </w:rPr>
      </w:pPr>
      <w:r>
        <w:rPr>
          <w:rFonts w:eastAsia="楷体_GB2312"/>
          <w:sz w:val="32"/>
          <w:szCs w:val="32"/>
        </w:rPr>
        <w:t>湖南工程学院计划财务处：</w:t>
      </w:r>
    </w:p>
    <w:p>
      <w:pPr>
        <w:spacing w:line="320" w:lineRule="exact"/>
        <w:ind w:firstLine="1680" w:firstLineChars="700"/>
        <w:rPr>
          <w:rFonts w:eastAsia="楷体_GB2312"/>
          <w:sz w:val="24"/>
        </w:rPr>
      </w:pPr>
      <w:r>
        <w:rPr>
          <w:rFonts w:eastAsia="楷体_GB2312"/>
          <w:sz w:val="24"/>
        </w:rPr>
        <w:t>请退回下列单位投标保证金，列表如下：</w:t>
      </w:r>
    </w:p>
    <w:tbl>
      <w:tblPr>
        <w:tblStyle w:val="47"/>
        <w:tblpPr w:leftFromText="180" w:rightFromText="180" w:vertAnchor="text" w:horzAnchor="page" w:tblpX="925" w:tblpY="287"/>
        <w:tblOverlap w:val="never"/>
        <w:tblW w:w="10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187"/>
        <w:gridCol w:w="2685"/>
        <w:gridCol w:w="2102"/>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3937" w:type="dxa"/>
            <w:gridSpan w:val="2"/>
            <w:vAlign w:val="center"/>
          </w:tcPr>
          <w:p>
            <w:pPr>
              <w:spacing w:line="320" w:lineRule="exact"/>
              <w:jc w:val="center"/>
              <w:rPr>
                <w:rFonts w:eastAsia="楷体_GB2312"/>
                <w:sz w:val="24"/>
              </w:rPr>
            </w:pPr>
            <w:r>
              <w:rPr>
                <w:rFonts w:eastAsia="楷体_GB2312"/>
                <w:sz w:val="24"/>
              </w:rPr>
              <w:t>投标项目</w:t>
            </w:r>
          </w:p>
        </w:tc>
        <w:tc>
          <w:tcPr>
            <w:tcW w:w="6221" w:type="dxa"/>
            <w:gridSpan w:val="3"/>
            <w:vAlign w:val="center"/>
          </w:tcPr>
          <w:p>
            <w:pPr>
              <w:spacing w:line="320" w:lineRule="exac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20" w:lineRule="exact"/>
              <w:rPr>
                <w:rFonts w:eastAsia="楷体_GB2312"/>
                <w:sz w:val="24"/>
              </w:rPr>
            </w:pPr>
            <w:r>
              <w:rPr>
                <w:rFonts w:eastAsia="楷体_GB2312"/>
                <w:sz w:val="24"/>
              </w:rPr>
              <w:t>序号</w:t>
            </w:r>
          </w:p>
        </w:tc>
        <w:tc>
          <w:tcPr>
            <w:tcW w:w="3187" w:type="dxa"/>
            <w:vAlign w:val="center"/>
          </w:tcPr>
          <w:p>
            <w:pPr>
              <w:spacing w:line="320" w:lineRule="exact"/>
              <w:jc w:val="center"/>
              <w:rPr>
                <w:rFonts w:eastAsia="楷体_GB2312"/>
                <w:sz w:val="24"/>
              </w:rPr>
            </w:pPr>
            <w:r>
              <w:rPr>
                <w:rFonts w:eastAsia="楷体_GB2312"/>
                <w:sz w:val="24"/>
              </w:rPr>
              <w:t>付款人户名</w:t>
            </w:r>
          </w:p>
        </w:tc>
        <w:tc>
          <w:tcPr>
            <w:tcW w:w="2685" w:type="dxa"/>
            <w:vAlign w:val="center"/>
          </w:tcPr>
          <w:p>
            <w:pPr>
              <w:spacing w:line="320" w:lineRule="exact"/>
              <w:rPr>
                <w:rFonts w:eastAsia="楷体_GB2312"/>
                <w:sz w:val="24"/>
              </w:rPr>
            </w:pPr>
            <w:r>
              <w:rPr>
                <w:rFonts w:eastAsia="楷体_GB2312"/>
                <w:sz w:val="24"/>
              </w:rPr>
              <w:t>开户行</w:t>
            </w:r>
          </w:p>
        </w:tc>
        <w:tc>
          <w:tcPr>
            <w:tcW w:w="2102" w:type="dxa"/>
            <w:vAlign w:val="center"/>
          </w:tcPr>
          <w:p>
            <w:pPr>
              <w:spacing w:line="320" w:lineRule="exact"/>
              <w:rPr>
                <w:rFonts w:eastAsia="楷体_GB2312"/>
                <w:sz w:val="24"/>
              </w:rPr>
            </w:pPr>
            <w:r>
              <w:rPr>
                <w:rFonts w:eastAsia="楷体_GB2312"/>
                <w:sz w:val="24"/>
              </w:rPr>
              <w:t>帐号</w:t>
            </w:r>
          </w:p>
        </w:tc>
        <w:tc>
          <w:tcPr>
            <w:tcW w:w="1434" w:type="dxa"/>
            <w:vAlign w:val="center"/>
          </w:tcPr>
          <w:p>
            <w:pPr>
              <w:spacing w:line="320" w:lineRule="exact"/>
              <w:rPr>
                <w:rFonts w:eastAsia="楷体_GB2312"/>
                <w:sz w:val="24"/>
              </w:rPr>
            </w:pPr>
            <w:r>
              <w:rPr>
                <w:rFonts w:eastAsia="楷体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20" w:lineRule="exact"/>
              <w:rPr>
                <w:rFonts w:eastAsia="楷体_GB2312"/>
                <w:sz w:val="24"/>
              </w:rPr>
            </w:pPr>
            <w:r>
              <w:rPr>
                <w:rFonts w:eastAsia="楷体_GB2312"/>
                <w:sz w:val="24"/>
              </w:rPr>
              <w:t>1</w:t>
            </w:r>
          </w:p>
        </w:tc>
        <w:tc>
          <w:tcPr>
            <w:tcW w:w="3187" w:type="dxa"/>
            <w:vAlign w:val="center"/>
          </w:tcPr>
          <w:p>
            <w:pPr>
              <w:spacing w:line="320" w:lineRule="exact"/>
              <w:rPr>
                <w:rFonts w:eastAsia="楷体_GB2312"/>
                <w:sz w:val="24"/>
              </w:rPr>
            </w:pPr>
            <w:r>
              <w:rPr>
                <w:rFonts w:hint="eastAsia" w:eastAsia="楷体_GB2312"/>
                <w:b/>
                <w:bCs/>
                <w:color w:val="FF0000"/>
                <w:sz w:val="24"/>
              </w:rPr>
              <w:t>填写的名称必须与转账单的名称相符，否则户名不一致，银行不退款</w:t>
            </w:r>
          </w:p>
        </w:tc>
        <w:tc>
          <w:tcPr>
            <w:tcW w:w="2685" w:type="dxa"/>
            <w:vAlign w:val="center"/>
          </w:tcPr>
          <w:p>
            <w:pPr>
              <w:spacing w:line="320" w:lineRule="exact"/>
              <w:rPr>
                <w:rFonts w:eastAsia="楷体_GB2312"/>
                <w:sz w:val="24"/>
              </w:rPr>
            </w:pPr>
          </w:p>
        </w:tc>
        <w:tc>
          <w:tcPr>
            <w:tcW w:w="2102" w:type="dxa"/>
            <w:vAlign w:val="center"/>
          </w:tcPr>
          <w:p>
            <w:pPr>
              <w:spacing w:line="320" w:lineRule="exact"/>
              <w:rPr>
                <w:rFonts w:eastAsia="楷体_GB2312"/>
                <w:sz w:val="24"/>
              </w:rPr>
            </w:pPr>
          </w:p>
        </w:tc>
        <w:tc>
          <w:tcPr>
            <w:tcW w:w="1434" w:type="dxa"/>
            <w:vAlign w:val="center"/>
          </w:tcPr>
          <w:p>
            <w:pPr>
              <w:spacing w:line="320" w:lineRule="exac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5" w:hRule="atLeast"/>
        </w:trPr>
        <w:tc>
          <w:tcPr>
            <w:tcW w:w="750" w:type="dxa"/>
            <w:vAlign w:val="center"/>
          </w:tcPr>
          <w:p>
            <w:pPr>
              <w:spacing w:line="320" w:lineRule="exact"/>
              <w:rPr>
                <w:rFonts w:eastAsia="楷体_GB2312"/>
                <w:sz w:val="24"/>
              </w:rPr>
            </w:pPr>
            <w:r>
              <w:rPr>
                <w:rFonts w:eastAsia="楷体_GB2312"/>
                <w:sz w:val="24"/>
              </w:rPr>
              <w:t>2</w:t>
            </w:r>
          </w:p>
        </w:tc>
        <w:tc>
          <w:tcPr>
            <w:tcW w:w="9408" w:type="dxa"/>
            <w:gridSpan w:val="4"/>
            <w:vAlign w:val="center"/>
          </w:tcPr>
          <w:p>
            <w:pPr>
              <w:spacing w:line="320" w:lineRule="exact"/>
              <w:rPr>
                <w:rFonts w:eastAsia="楷体_GB2312"/>
                <w:b/>
                <w:bCs/>
                <w:color w:val="FF0000"/>
                <w:sz w:val="32"/>
                <w:szCs w:val="32"/>
              </w:rPr>
            </w:pPr>
          </w:p>
          <w:p>
            <w:pPr>
              <w:spacing w:line="320" w:lineRule="exact"/>
              <w:rPr>
                <w:rFonts w:eastAsia="楷体_GB2312"/>
                <w:b/>
                <w:bCs/>
                <w:color w:val="FF0000"/>
                <w:sz w:val="32"/>
                <w:szCs w:val="32"/>
              </w:rPr>
            </w:pPr>
          </w:p>
          <w:p>
            <w:pPr>
              <w:tabs>
                <w:tab w:val="left" w:pos="6075"/>
              </w:tabs>
              <w:spacing w:beforeLines="50" w:afterLines="50"/>
              <w:ind w:right="480"/>
              <w:jc w:val="left"/>
              <w:rPr>
                <w:rFonts w:eastAsia="楷体_GB2312"/>
                <w:b/>
                <w:bCs/>
                <w:color w:val="FF0000"/>
                <w:sz w:val="32"/>
                <w:szCs w:val="32"/>
              </w:rPr>
            </w:pPr>
            <w:r>
              <w:rPr>
                <w:rFonts w:eastAsia="楷体_GB2312"/>
                <w:b/>
                <w:bCs/>
                <w:color w:val="FF0000"/>
                <w:sz w:val="32"/>
                <w:szCs w:val="32"/>
              </w:rPr>
              <w:t>保证金付款凭证复印件粘贴上</w:t>
            </w:r>
          </w:p>
          <w:p>
            <w:pPr>
              <w:spacing w:line="320" w:lineRule="exact"/>
              <w:rPr>
                <w:rFonts w:eastAsia="楷体_GB2312"/>
                <w:b/>
                <w:bCs/>
                <w:color w:val="FF0000"/>
                <w:sz w:val="32"/>
                <w:szCs w:val="32"/>
              </w:rPr>
            </w:pPr>
          </w:p>
          <w:p>
            <w:pPr>
              <w:spacing w:line="320" w:lineRule="exact"/>
              <w:rPr>
                <w:rFonts w:eastAsia="楷体_GB2312"/>
                <w:b/>
                <w:bCs/>
                <w:color w:val="FF0000"/>
                <w:sz w:val="32"/>
                <w:szCs w:val="32"/>
              </w:rPr>
            </w:pPr>
          </w:p>
          <w:p>
            <w:pPr>
              <w:spacing w:line="320" w:lineRule="exact"/>
              <w:rPr>
                <w:rFonts w:eastAsia="楷体_GB2312"/>
                <w:b/>
                <w:bCs/>
                <w:color w:val="FF0000"/>
                <w:sz w:val="32"/>
                <w:szCs w:val="32"/>
              </w:rPr>
            </w:pPr>
          </w:p>
        </w:tc>
      </w:tr>
    </w:tbl>
    <w:p>
      <w:pPr>
        <w:spacing w:line="320" w:lineRule="exact"/>
        <w:ind w:firstLine="420" w:firstLineChars="175"/>
        <w:rPr>
          <w:rFonts w:eastAsia="楷体_GB2312"/>
          <w:sz w:val="24"/>
        </w:rPr>
      </w:pPr>
    </w:p>
    <w:p>
      <w:pPr>
        <w:adjustRightInd w:val="0"/>
        <w:snapToGrid w:val="0"/>
        <w:spacing w:before="50" w:line="360" w:lineRule="auto"/>
        <w:ind w:right="109" w:rightChars="52"/>
        <w:rPr>
          <w:szCs w:val="21"/>
        </w:rPr>
      </w:pPr>
      <w:r>
        <w:rPr>
          <w:szCs w:val="21"/>
        </w:rPr>
        <w:t>湖南工程学院采购与招标管理中心：              （盖章）2018年  月  日</w:t>
      </w:r>
    </w:p>
    <w:p>
      <w:pPr>
        <w:adjustRightInd w:val="0"/>
        <w:snapToGrid w:val="0"/>
        <w:spacing w:before="50" w:line="360" w:lineRule="auto"/>
        <w:ind w:left="2323" w:leftChars="1103" w:right="2850" w:rightChars="1357" w:hanging="7"/>
        <w:rPr>
          <w:szCs w:val="21"/>
        </w:rPr>
      </w:pPr>
      <w:r>
        <w:rPr>
          <w:szCs w:val="21"/>
        </w:rPr>
        <w:t xml:space="preserve">                                         </w:t>
      </w:r>
    </w:p>
    <w:p>
      <w:pPr>
        <w:adjustRightInd w:val="0"/>
        <w:snapToGrid w:val="0"/>
        <w:spacing w:before="50" w:line="360" w:lineRule="auto"/>
        <w:ind w:right="2850" w:rightChars="1357"/>
        <w:rPr>
          <w:szCs w:val="21"/>
        </w:rPr>
      </w:pPr>
      <w:r>
        <w:rPr>
          <w:szCs w:val="21"/>
        </w:rPr>
        <w:t>供应商(盖单位章)：</w:t>
      </w:r>
    </w:p>
    <w:p>
      <w:pPr>
        <w:adjustRightInd w:val="0"/>
        <w:snapToGrid w:val="0"/>
        <w:spacing w:before="50" w:line="360" w:lineRule="auto"/>
        <w:rPr>
          <w:szCs w:val="21"/>
        </w:rPr>
      </w:pPr>
      <w:r>
        <w:rPr>
          <w:szCs w:val="21"/>
        </w:rPr>
        <w:t>联系人：</w:t>
      </w:r>
      <w:r>
        <w:rPr>
          <w:szCs w:val="21"/>
          <w:u w:val="single"/>
        </w:rPr>
        <w:t xml:space="preserve">                 </w:t>
      </w:r>
      <w:r>
        <w:rPr>
          <w:szCs w:val="21"/>
        </w:rPr>
        <w:t xml:space="preserve"> </w:t>
      </w:r>
    </w:p>
    <w:p>
      <w:pPr>
        <w:adjustRightInd w:val="0"/>
        <w:snapToGrid w:val="0"/>
        <w:spacing w:before="50" w:line="360" w:lineRule="auto"/>
        <w:rPr>
          <w:szCs w:val="21"/>
        </w:rPr>
      </w:pPr>
      <w:r>
        <w:rPr>
          <w:szCs w:val="21"/>
        </w:rPr>
        <w:t>移动电话：</w:t>
      </w:r>
      <w:r>
        <w:rPr>
          <w:szCs w:val="21"/>
          <w:u w:val="single"/>
        </w:rPr>
        <w:t xml:space="preserve">                </w:t>
      </w:r>
      <w:r>
        <w:rPr>
          <w:szCs w:val="21"/>
        </w:rPr>
        <w:t xml:space="preserve">        </w:t>
      </w:r>
    </w:p>
    <w:p>
      <w:pPr>
        <w:pStyle w:val="22"/>
        <w:adjustRightInd w:val="0"/>
        <w:snapToGrid w:val="0"/>
        <w:spacing w:beforeLines="50" w:line="240" w:lineRule="exact"/>
        <w:rPr>
          <w:rFonts w:ascii="Times New Roman" w:hAnsi="Times New Roman"/>
          <w:szCs w:val="21"/>
        </w:rPr>
      </w:pPr>
      <w:r>
        <w:rPr>
          <w:rFonts w:ascii="Times New Roman" w:hAnsi="Times New Roman"/>
          <w:szCs w:val="21"/>
        </w:rPr>
        <w:t>说明：</w:t>
      </w:r>
    </w:p>
    <w:p>
      <w:pPr>
        <w:pStyle w:val="22"/>
        <w:numPr>
          <w:ilvl w:val="0"/>
          <w:numId w:val="65"/>
        </w:numPr>
        <w:adjustRightInd w:val="0"/>
        <w:snapToGrid w:val="0"/>
        <w:spacing w:beforeLines="50" w:line="240" w:lineRule="exact"/>
        <w:rPr>
          <w:rFonts w:ascii="Times New Roman" w:hAnsi="Times New Roman"/>
          <w:sz w:val="18"/>
          <w:szCs w:val="18"/>
        </w:rPr>
      </w:pPr>
      <w:r>
        <w:rPr>
          <w:rFonts w:ascii="Times New Roman" w:hAnsi="Times New Roman"/>
          <w:sz w:val="18"/>
          <w:szCs w:val="18"/>
        </w:rPr>
        <w:t>提供付款凭证复印件或金融机构、担保机构出具的保函原件。</w:t>
      </w:r>
    </w:p>
    <w:p>
      <w:pPr>
        <w:pStyle w:val="22"/>
        <w:numPr>
          <w:ilvl w:val="0"/>
          <w:numId w:val="65"/>
        </w:numPr>
        <w:adjustRightInd w:val="0"/>
        <w:snapToGrid w:val="0"/>
        <w:spacing w:beforeLines="50" w:line="240" w:lineRule="exact"/>
        <w:rPr>
          <w:rFonts w:ascii="Times New Roman" w:hAnsi="Times New Roman"/>
          <w:sz w:val="18"/>
          <w:szCs w:val="18"/>
        </w:rPr>
      </w:pPr>
      <w:r>
        <w:rPr>
          <w:rFonts w:ascii="Times New Roman" w:hAnsi="Times New Roman"/>
          <w:sz w:val="18"/>
          <w:szCs w:val="18"/>
        </w:rPr>
        <w:t>根据供应商递交的《投标保证金退款通知单》上的账户信息，以转账或电汇方式退还至供应商的原缴纳账户。</w:t>
      </w:r>
    </w:p>
    <w:p>
      <w:pPr>
        <w:pStyle w:val="22"/>
        <w:numPr>
          <w:ilvl w:val="0"/>
          <w:numId w:val="65"/>
        </w:numPr>
        <w:adjustRightInd w:val="0"/>
        <w:snapToGrid w:val="0"/>
        <w:spacing w:beforeLines="50" w:line="240" w:lineRule="exact"/>
        <w:rPr>
          <w:rFonts w:ascii="Times New Roman" w:hAnsi="Times New Roman"/>
          <w:sz w:val="18"/>
          <w:szCs w:val="18"/>
        </w:rPr>
      </w:pPr>
      <w:r>
        <w:rPr>
          <w:rFonts w:ascii="Times New Roman" w:hAnsi="Times New Roman"/>
          <w:sz w:val="18"/>
          <w:szCs w:val="18"/>
        </w:rPr>
        <w:t>投标保证金在递交响应文件文件截止之日前汇入湖南工程学院财务处，中标者合同验收后退还，未中标者</w:t>
      </w:r>
      <w:r>
        <w:rPr>
          <w:rFonts w:hint="eastAsia" w:ascii="Times New Roman" w:hAnsi="Times New Roman"/>
          <w:sz w:val="18"/>
          <w:szCs w:val="18"/>
        </w:rPr>
        <w:t>1</w:t>
      </w:r>
      <w:r>
        <w:rPr>
          <w:rFonts w:ascii="Times New Roman" w:hAnsi="Times New Roman"/>
          <w:sz w:val="18"/>
          <w:szCs w:val="18"/>
        </w:rPr>
        <w:t>0个工作日原数退还（学校关账期间不算工作日时间）。</w:t>
      </w:r>
    </w:p>
    <w:p>
      <w:pPr>
        <w:pStyle w:val="22"/>
        <w:numPr>
          <w:ilvl w:val="0"/>
          <w:numId w:val="65"/>
        </w:numPr>
        <w:adjustRightInd w:val="0"/>
        <w:snapToGrid w:val="0"/>
        <w:spacing w:beforeLines="50" w:line="240" w:lineRule="exact"/>
        <w:rPr>
          <w:rFonts w:ascii="Times New Roman" w:hAnsi="Times New Roman"/>
          <w:sz w:val="18"/>
          <w:szCs w:val="18"/>
        </w:rPr>
      </w:pPr>
      <w:r>
        <w:rPr>
          <w:rFonts w:ascii="Times New Roman" w:hAnsi="Times New Roman"/>
          <w:sz w:val="18"/>
          <w:szCs w:val="18"/>
        </w:rPr>
        <w:t>银行户名：湖南工程学院，账号：1904031109026409320，</w:t>
      </w:r>
    </w:p>
    <w:p>
      <w:pPr>
        <w:pStyle w:val="22"/>
        <w:numPr>
          <w:ilvl w:val="0"/>
          <w:numId w:val="65"/>
        </w:numPr>
        <w:adjustRightInd w:val="0"/>
        <w:snapToGrid w:val="0"/>
        <w:spacing w:beforeLines="50" w:line="240" w:lineRule="exact"/>
        <w:rPr>
          <w:rFonts w:ascii="Times New Roman" w:hAnsi="Times New Roman"/>
          <w:sz w:val="18"/>
          <w:szCs w:val="18"/>
        </w:rPr>
      </w:pPr>
      <w:r>
        <w:rPr>
          <w:rFonts w:ascii="Times New Roman" w:hAnsi="Times New Roman"/>
          <w:sz w:val="18"/>
          <w:szCs w:val="18"/>
        </w:rPr>
        <w:t>开户行：工商银行湘潭岳塘支行，请在附言栏注明款项内容及单位或个人</w:t>
      </w:r>
    </w:p>
    <w:p>
      <w:pPr>
        <w:spacing w:line="360" w:lineRule="exact"/>
        <w:rPr>
          <w:sz w:val="24"/>
        </w:rPr>
      </w:pPr>
    </w:p>
    <w:p>
      <w:pPr>
        <w:ind w:firstLine="420" w:firstLineChars="200"/>
        <w:rPr>
          <w:rFonts w:ascii="宋体" w:hAnsi="宋体" w:cs="仿宋"/>
        </w:rPr>
      </w:pPr>
    </w:p>
    <w:sectPr>
      <w:pgSz w:w="11907" w:h="16840"/>
      <w:pgMar w:top="907" w:right="1588" w:bottom="1219" w:left="1588" w:header="567" w:footer="45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DBC7CA-3954-43E2-99A7-ADA92CC0D05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096EBFAF-E969-414C-94A5-C48A34414E06}"/>
  </w:font>
  <w:font w:name="Arial">
    <w:panose1 w:val="020B0604020202020204"/>
    <w:charset w:val="00"/>
    <w:family w:val="swiss"/>
    <w:pitch w:val="default"/>
    <w:sig w:usb0="E0002AFF" w:usb1="C0007843" w:usb2="00000009" w:usb3="00000000" w:csb0="400001FF" w:csb1="FFFF0000"/>
    <w:embedRegular r:id="rId3" w:fontKey="{A71FB8CE-F2D1-4723-BF69-04C19BF395EB}"/>
  </w:font>
  <w:font w:name="仿宋_GB2312">
    <w:altName w:val="仿宋"/>
    <w:panose1 w:val="00000000000000000000"/>
    <w:charset w:val="86"/>
    <w:family w:val="modern"/>
    <w:pitch w:val="default"/>
    <w:sig w:usb0="00000000" w:usb1="00000000" w:usb2="00000010" w:usb3="00000000" w:csb0="00040000" w:csb1="00000000"/>
    <w:embedRegular r:id="rId4" w:fontKey="{5C62F859-D810-42C1-98B9-9816BACDBA37}"/>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HelveticaCondensed">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font-weight : 400">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embedRegular r:id="rId5" w:fontKey="{88463E3C-5742-4861-824F-8463AF800D51}"/>
  </w:font>
  <w:font w:name="仿宋">
    <w:panose1 w:val="02010609060101010101"/>
    <w:charset w:val="86"/>
    <w:family w:val="modern"/>
    <w:pitch w:val="default"/>
    <w:sig w:usb0="800002BF" w:usb1="38CF7CFA" w:usb2="00000016" w:usb3="00000000" w:csb0="00040001" w:csb1="00000000"/>
    <w:embedRegular r:id="rId6" w:fontKey="{460DD4CB-1BE2-49D7-8741-2EA39AA0BD2B}"/>
  </w:font>
  <w:font w:name="腾祥潮黑简">
    <w:panose1 w:val="01010104010101010101"/>
    <w:charset w:val="86"/>
    <w:family w:val="auto"/>
    <w:pitch w:val="default"/>
    <w:sig w:usb0="800002BF" w:usb1="18CF6CFA" w:usb2="00000012" w:usb3="00000000" w:csb0="00040001" w:csb1="00000000"/>
    <w:embedRegular r:id="rId7" w:fontKey="{CB0FE5F2-6B9C-44C5-86E1-64CD93F83E41}"/>
  </w:font>
  <w:font w:name="楷体_GB2312">
    <w:altName w:val="楷体"/>
    <w:panose1 w:val="00000000000000000000"/>
    <w:charset w:val="86"/>
    <w:family w:val="modern"/>
    <w:pitch w:val="default"/>
    <w:sig w:usb0="00000000" w:usb1="00000000" w:usb2="00000010" w:usb3="00000000" w:csb0="00040000" w:csb1="00000000"/>
    <w:embedRegular r:id="rId8" w:fontKey="{24E1BC5E-8B54-42A9-80C9-1328CBBAA5A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ind w:left="482" w:hanging="482"/>
      <w:rPr>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260" w:lineRule="atLeast"/>
      <w:ind w:left="482" w:hanging="482"/>
      <w:rPr>
        <w:kern w:val="0"/>
        <w:sz w:val="18"/>
        <w:szCs w:val="21"/>
      </w:rPr>
    </w:pPr>
    <w:r>
      <w:rPr>
        <w:rFonts w:hint="eastAsia"/>
        <w:kern w:val="0"/>
        <w:sz w:val="18"/>
        <w:szCs w:val="21"/>
      </w:rPr>
      <w:t xml:space="preserve">湖南科技大学国有资产管理处                                 电话：0731-58290746            </w:t>
    </w:r>
    <w:r>
      <w:rPr>
        <w:rFonts w:hint="eastAsia"/>
        <w:kern w:val="0"/>
        <w:sz w:val="18"/>
        <w:szCs w:val="18"/>
      </w:rPr>
      <w:t xml:space="preserve">第 </w:t>
    </w:r>
    <w:r>
      <w:rPr>
        <w:b/>
        <w:kern w:val="0"/>
        <w:sz w:val="18"/>
        <w:szCs w:val="18"/>
      </w:rPr>
      <w:fldChar w:fldCharType="begin"/>
    </w:r>
    <w:r>
      <w:rPr>
        <w:b/>
        <w:kern w:val="0"/>
        <w:sz w:val="18"/>
        <w:szCs w:val="18"/>
      </w:rPr>
      <w:instrText xml:space="preserve"> PAGE </w:instrText>
    </w:r>
    <w:r>
      <w:rPr>
        <w:b/>
        <w:kern w:val="0"/>
        <w:sz w:val="18"/>
        <w:szCs w:val="18"/>
      </w:rPr>
      <w:fldChar w:fldCharType="separate"/>
    </w:r>
    <w:r>
      <w:rPr>
        <w:b/>
        <w:kern w:val="0"/>
        <w:sz w:val="18"/>
        <w:szCs w:val="18"/>
      </w:rPr>
      <w:t>1</w:t>
    </w:r>
    <w:r>
      <w:rPr>
        <w:b/>
        <w:kern w:val="0"/>
        <w:sz w:val="18"/>
        <w:szCs w:val="18"/>
      </w:rPr>
      <w:fldChar w:fldCharType="end"/>
    </w:r>
    <w:r>
      <w:rPr>
        <w:rFonts w:hint="eastAsia"/>
        <w:kern w:val="0"/>
        <w:sz w:val="18"/>
        <w:szCs w:val="18"/>
      </w:rPr>
      <w:t xml:space="preserve"> 页</w:t>
    </w:r>
  </w:p>
  <w:p>
    <w:pPr>
      <w:adjustRightInd w:val="0"/>
      <w:snapToGrid w:val="0"/>
      <w:spacing w:line="260" w:lineRule="atLeast"/>
      <w:ind w:left="482" w:hanging="482"/>
    </w:pPr>
    <w:r>
      <w:rPr>
        <w:rFonts w:hint="eastAsia"/>
        <w:kern w:val="0"/>
        <w:sz w:val="18"/>
        <w:szCs w:val="21"/>
      </w:rPr>
      <w:t xml:space="preserve">地址：湘潭市雨湖区桃园路                           </w:t>
    </w:r>
    <w:r>
      <w:rPr>
        <w:rFonts w:hint="eastAsia"/>
        <w:kern w:val="0"/>
      </w:rPr>
      <w:t xml:space="preserve">       </w:t>
    </w:r>
    <w:r>
      <w:rPr>
        <w:rFonts w:hint="eastAsia"/>
        <w:kern w:val="0"/>
        <w:sz w:val="18"/>
        <w:szCs w:val="21"/>
      </w:rPr>
      <w:t>传真：0731-58290210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ind w:left="482" w:hanging="482"/>
      <w:rPr>
        <w:kern w:val="0"/>
        <w:sz w:val="18"/>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adjustRightInd w:val="0"/>
                            <w:snapToGrid w:val="0"/>
                            <w:spacing w:line="260" w:lineRule="atLeast"/>
                            <w:ind w:left="482" w:hanging="482"/>
                          </w:pPr>
                          <w:r>
                            <w:rPr>
                              <w:rFonts w:hint="eastAsia"/>
                              <w:kern w:val="0"/>
                              <w:sz w:val="18"/>
                              <w:szCs w:val="21"/>
                            </w:rPr>
                            <w:t>湖南工程学院采购与招标管理中心                              电话</w:t>
                          </w:r>
                          <w:r>
                            <w:rPr>
                              <w:rFonts w:hint="eastAsia"/>
                              <w:kern w:val="0"/>
                              <w:szCs w:val="21"/>
                            </w:rPr>
                            <w:t>：</w:t>
                          </w:r>
                          <w:r>
                            <w:rPr>
                              <w:rFonts w:hint="eastAsia"/>
                              <w:kern w:val="0"/>
                              <w:sz w:val="18"/>
                              <w:szCs w:val="21"/>
                            </w:rPr>
                            <w:t xml:space="preserve">0731-58683362          </w:t>
                          </w:r>
                          <w:r>
                            <w:rPr>
                              <w:rFonts w:hint="eastAsia"/>
                              <w:kern w:val="0"/>
                              <w:sz w:val="18"/>
                              <w:szCs w:val="18"/>
                            </w:rPr>
                            <w:t xml:space="preserve">第 </w:t>
                          </w:r>
                          <w:r>
                            <w:rPr>
                              <w:b/>
                              <w:kern w:val="0"/>
                              <w:sz w:val="18"/>
                              <w:szCs w:val="18"/>
                            </w:rPr>
                            <w:fldChar w:fldCharType="begin"/>
                          </w:r>
                          <w:r>
                            <w:rPr>
                              <w:b/>
                              <w:kern w:val="0"/>
                              <w:sz w:val="18"/>
                              <w:szCs w:val="18"/>
                            </w:rPr>
                            <w:instrText xml:space="preserve"> PAGE </w:instrText>
                          </w:r>
                          <w:r>
                            <w:rPr>
                              <w:b/>
                              <w:kern w:val="0"/>
                              <w:sz w:val="18"/>
                              <w:szCs w:val="18"/>
                            </w:rPr>
                            <w:fldChar w:fldCharType="separate"/>
                          </w:r>
                          <w:r>
                            <w:rPr>
                              <w:b/>
                              <w:kern w:val="0"/>
                              <w:sz w:val="18"/>
                              <w:szCs w:val="18"/>
                            </w:rPr>
                            <w:t>18</w:t>
                          </w:r>
                          <w:r>
                            <w:rPr>
                              <w:b/>
                              <w:kern w:val="0"/>
                              <w:sz w:val="18"/>
                              <w:szCs w:val="18"/>
                            </w:rPr>
                            <w:fldChar w:fldCharType="end"/>
                          </w:r>
                          <w:r>
                            <w:rPr>
                              <w:rFonts w:hint="eastAsia"/>
                              <w:kern w:val="0"/>
                              <w:sz w:val="18"/>
                              <w:szCs w:val="18"/>
                            </w:rPr>
                            <w:t xml:space="preserve"> 页</w:t>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4b8iZr4BAABjAwAADgAAAAAAAAABACAAAAAeAQAAZHJzL2Uyb0RvYy54bWxQSwUGAAAA&#10;AAYABgBZAQAATgUAAAAA&#10;">
              <v:fill on="f" focussize="0,0"/>
              <v:stroke on="f"/>
              <v:imagedata o:title=""/>
              <o:lock v:ext="edit" aspectratio="f"/>
              <v:textbox inset="0mm,0mm,0mm,0mm" style="mso-fit-shape-to-text:t;">
                <w:txbxContent>
                  <w:p>
                    <w:pPr>
                      <w:adjustRightInd w:val="0"/>
                      <w:snapToGrid w:val="0"/>
                      <w:spacing w:line="260" w:lineRule="atLeast"/>
                      <w:ind w:left="482" w:hanging="482"/>
                    </w:pPr>
                    <w:r>
                      <w:rPr>
                        <w:rFonts w:hint="eastAsia"/>
                        <w:kern w:val="0"/>
                        <w:sz w:val="18"/>
                        <w:szCs w:val="21"/>
                      </w:rPr>
                      <w:t>湖南工程学院采购与招标管理中心                              电话</w:t>
                    </w:r>
                    <w:r>
                      <w:rPr>
                        <w:rFonts w:hint="eastAsia"/>
                        <w:kern w:val="0"/>
                        <w:szCs w:val="21"/>
                      </w:rPr>
                      <w:t>：</w:t>
                    </w:r>
                    <w:r>
                      <w:rPr>
                        <w:rFonts w:hint="eastAsia"/>
                        <w:kern w:val="0"/>
                        <w:sz w:val="18"/>
                        <w:szCs w:val="21"/>
                      </w:rPr>
                      <w:t xml:space="preserve">0731-58683362          </w:t>
                    </w:r>
                    <w:r>
                      <w:rPr>
                        <w:rFonts w:hint="eastAsia"/>
                        <w:kern w:val="0"/>
                        <w:sz w:val="18"/>
                        <w:szCs w:val="18"/>
                      </w:rPr>
                      <w:t xml:space="preserve">第 </w:t>
                    </w:r>
                    <w:r>
                      <w:rPr>
                        <w:b/>
                        <w:kern w:val="0"/>
                        <w:sz w:val="18"/>
                        <w:szCs w:val="18"/>
                      </w:rPr>
                      <w:fldChar w:fldCharType="begin"/>
                    </w:r>
                    <w:r>
                      <w:rPr>
                        <w:b/>
                        <w:kern w:val="0"/>
                        <w:sz w:val="18"/>
                        <w:szCs w:val="18"/>
                      </w:rPr>
                      <w:instrText xml:space="preserve"> PAGE </w:instrText>
                    </w:r>
                    <w:r>
                      <w:rPr>
                        <w:b/>
                        <w:kern w:val="0"/>
                        <w:sz w:val="18"/>
                        <w:szCs w:val="18"/>
                      </w:rPr>
                      <w:fldChar w:fldCharType="separate"/>
                    </w:r>
                    <w:r>
                      <w:rPr>
                        <w:b/>
                        <w:kern w:val="0"/>
                        <w:sz w:val="18"/>
                        <w:szCs w:val="18"/>
                      </w:rPr>
                      <w:t>18</w:t>
                    </w:r>
                    <w:r>
                      <w:rPr>
                        <w:b/>
                        <w:kern w:val="0"/>
                        <w:sz w:val="18"/>
                        <w:szCs w:val="18"/>
                      </w:rPr>
                      <w:fldChar w:fldCharType="end"/>
                    </w:r>
                    <w:r>
                      <w:rPr>
                        <w:rFonts w:hint="eastAsia"/>
                        <w:kern w:val="0"/>
                        <w:sz w:val="18"/>
                        <w:szCs w:val="18"/>
                      </w:rPr>
                      <w:t xml:space="preserve"> 页</w:t>
                    </w:r>
                  </w:p>
                </w:txbxContent>
              </v:textbox>
            </v:shape>
          </w:pict>
        </mc:Fallback>
      </mc:AlternateContent>
    </w:r>
  </w:p>
  <w:p>
    <w:pPr>
      <w:pStyle w:val="27"/>
      <w:rPr>
        <w:kern w:val="0"/>
        <w:szCs w:val="21"/>
      </w:rPr>
    </w:pPr>
    <w:r>
      <w:rPr>
        <w:rFonts w:hint="eastAsia"/>
        <w:kern w:val="0"/>
        <w:szCs w:val="21"/>
      </w:rPr>
      <w:t>地址：湘潭市岳塘区福星中路88号                             传真：0731-58683568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ascii="仿宋_GB2312" w:eastAsia="仿宋_GB2312"/>
        <w:bCs/>
        <w:u w:val="single"/>
      </w:rPr>
    </w:pPr>
    <w: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147955</wp:posOffset>
              </wp:positionV>
              <wp:extent cx="5522595" cy="182245"/>
              <wp:effectExtent l="0" t="0" r="0" b="0"/>
              <wp:wrapNone/>
              <wp:docPr id="1" name="文本框 16"/>
              <wp:cNvGraphicFramePr/>
              <a:graphic xmlns:a="http://schemas.openxmlformats.org/drawingml/2006/main">
                <a:graphicData uri="http://schemas.microsoft.com/office/word/2010/wordprocessingShape">
                  <wps:wsp>
                    <wps:cNvSpPr txBox="1"/>
                    <wps:spPr>
                      <a:xfrm>
                        <a:off x="0" y="0"/>
                        <a:ext cx="5522595" cy="182245"/>
                      </a:xfrm>
                      <a:prstGeom prst="rect">
                        <a:avLst/>
                      </a:prstGeom>
                      <a:noFill/>
                      <a:ln w="9525">
                        <a:noFill/>
                      </a:ln>
                      <a:effectLst/>
                    </wps:spPr>
                    <wps:txbx>
                      <w:txbxContent>
                        <w:p>
                          <w:pPr>
                            <w:adjustRightInd w:val="0"/>
                            <w:snapToGrid w:val="0"/>
                            <w:spacing w:line="260" w:lineRule="atLeast"/>
                            <w:ind w:left="482" w:hanging="482"/>
                            <w:jc w:val="left"/>
                          </w:pPr>
                          <w:r>
                            <w:rPr>
                              <w:rFonts w:hint="eastAsia"/>
                              <w:kern w:val="0"/>
                              <w:sz w:val="18"/>
                              <w:szCs w:val="21"/>
                            </w:rPr>
                            <w:t>湖南工程学院采购与招标管理中心                          电话</w:t>
                          </w:r>
                          <w:r>
                            <w:rPr>
                              <w:rFonts w:hint="eastAsia"/>
                              <w:kern w:val="0"/>
                              <w:szCs w:val="21"/>
                            </w:rPr>
                            <w:t>：</w:t>
                          </w:r>
                          <w:r>
                            <w:rPr>
                              <w:rFonts w:hint="eastAsia"/>
                              <w:kern w:val="0"/>
                              <w:sz w:val="18"/>
                              <w:szCs w:val="21"/>
                            </w:rPr>
                            <w:t xml:space="preserve">0731-58683916           </w:t>
                          </w:r>
                          <w:r>
                            <w:rPr>
                              <w:rFonts w:hint="eastAsia"/>
                              <w:kern w:val="0"/>
                              <w:sz w:val="18"/>
                              <w:szCs w:val="18"/>
                            </w:rPr>
                            <w:t xml:space="preserve">第 </w:t>
                          </w:r>
                          <w:r>
                            <w:rPr>
                              <w:b/>
                              <w:kern w:val="0"/>
                              <w:sz w:val="18"/>
                              <w:szCs w:val="18"/>
                            </w:rPr>
                            <w:fldChar w:fldCharType="begin"/>
                          </w:r>
                          <w:r>
                            <w:rPr>
                              <w:b/>
                              <w:kern w:val="0"/>
                              <w:sz w:val="18"/>
                              <w:szCs w:val="18"/>
                            </w:rPr>
                            <w:instrText xml:space="preserve"> PAGE </w:instrText>
                          </w:r>
                          <w:r>
                            <w:rPr>
                              <w:b/>
                              <w:kern w:val="0"/>
                              <w:sz w:val="18"/>
                              <w:szCs w:val="18"/>
                            </w:rPr>
                            <w:fldChar w:fldCharType="separate"/>
                          </w:r>
                          <w:r>
                            <w:rPr>
                              <w:b/>
                              <w:kern w:val="0"/>
                              <w:sz w:val="18"/>
                              <w:szCs w:val="18"/>
                            </w:rPr>
                            <w:t>25</w:t>
                          </w:r>
                          <w:r>
                            <w:rPr>
                              <w:b/>
                              <w:kern w:val="0"/>
                              <w:sz w:val="18"/>
                              <w:szCs w:val="18"/>
                            </w:rPr>
                            <w:fldChar w:fldCharType="end"/>
                          </w:r>
                          <w:r>
                            <w:rPr>
                              <w:rFonts w:hint="eastAsia"/>
                              <w:kern w:val="0"/>
                              <w:sz w:val="18"/>
                              <w:szCs w:val="18"/>
                            </w:rPr>
                            <w:t xml:space="preserve"> 页</w:t>
                          </w:r>
                        </w:p>
                      </w:txbxContent>
                    </wps:txbx>
                    <wps:bodyPr wrap="square" lIns="0" tIns="0" rIns="0" bIns="0" upright="0">
                      <a:noAutofit/>
                    </wps:bodyPr>
                  </wps:wsp>
                </a:graphicData>
              </a:graphic>
            </wp:anchor>
          </w:drawing>
        </mc:Choice>
        <mc:Fallback>
          <w:pict>
            <v:shape id="文本框 16" o:spid="_x0000_s1026" o:spt="202" type="#_x0000_t202" style="position:absolute;left:0pt;margin-left:0pt;margin-top:11.65pt;height:14.35pt;width:434.85pt;mso-position-horizontal-relative:margin;z-index:251658240;mso-width-relative:page;mso-height-relative:page;" filled="f" stroked="f" coordsize="21600,21600" o:gfxdata="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E9mqVtYAAAAGAQAADwAAAAAAAAABACAAAAAiAAAAZHJzL2Rvd25yZXYu&#10;eG1sUEsBAhQAFAAAAAgAh07iQM5u2pjEAQAAZAMAAA4AAAAAAAAAAQAgAAAAJQEAAGRycy9lMm9E&#10;b2MueG1sUEsFBgAAAAAGAAYAWQEAAFsFAAAAAA==&#10;">
              <v:fill on="f" focussize="0,0"/>
              <v:stroke on="f"/>
              <v:imagedata o:title=""/>
              <o:lock v:ext="edit" aspectratio="f"/>
              <v:textbox inset="0mm,0mm,0mm,0mm">
                <w:txbxContent>
                  <w:p>
                    <w:pPr>
                      <w:adjustRightInd w:val="0"/>
                      <w:snapToGrid w:val="0"/>
                      <w:spacing w:line="260" w:lineRule="atLeast"/>
                      <w:ind w:left="482" w:hanging="482"/>
                      <w:jc w:val="left"/>
                    </w:pPr>
                    <w:r>
                      <w:rPr>
                        <w:rFonts w:hint="eastAsia"/>
                        <w:kern w:val="0"/>
                        <w:sz w:val="18"/>
                        <w:szCs w:val="21"/>
                      </w:rPr>
                      <w:t>湖南工程学院采购与招标管理中心                          电话</w:t>
                    </w:r>
                    <w:r>
                      <w:rPr>
                        <w:rFonts w:hint="eastAsia"/>
                        <w:kern w:val="0"/>
                        <w:szCs w:val="21"/>
                      </w:rPr>
                      <w:t>：</w:t>
                    </w:r>
                    <w:r>
                      <w:rPr>
                        <w:rFonts w:hint="eastAsia"/>
                        <w:kern w:val="0"/>
                        <w:sz w:val="18"/>
                        <w:szCs w:val="21"/>
                      </w:rPr>
                      <w:t xml:space="preserve">0731-58683916           </w:t>
                    </w:r>
                    <w:r>
                      <w:rPr>
                        <w:rFonts w:hint="eastAsia"/>
                        <w:kern w:val="0"/>
                        <w:sz w:val="18"/>
                        <w:szCs w:val="18"/>
                      </w:rPr>
                      <w:t xml:space="preserve">第 </w:t>
                    </w:r>
                    <w:r>
                      <w:rPr>
                        <w:b/>
                        <w:kern w:val="0"/>
                        <w:sz w:val="18"/>
                        <w:szCs w:val="18"/>
                      </w:rPr>
                      <w:fldChar w:fldCharType="begin"/>
                    </w:r>
                    <w:r>
                      <w:rPr>
                        <w:b/>
                        <w:kern w:val="0"/>
                        <w:sz w:val="18"/>
                        <w:szCs w:val="18"/>
                      </w:rPr>
                      <w:instrText xml:space="preserve"> PAGE </w:instrText>
                    </w:r>
                    <w:r>
                      <w:rPr>
                        <w:b/>
                        <w:kern w:val="0"/>
                        <w:sz w:val="18"/>
                        <w:szCs w:val="18"/>
                      </w:rPr>
                      <w:fldChar w:fldCharType="separate"/>
                    </w:r>
                    <w:r>
                      <w:rPr>
                        <w:b/>
                        <w:kern w:val="0"/>
                        <w:sz w:val="18"/>
                        <w:szCs w:val="18"/>
                      </w:rPr>
                      <w:t>25</w:t>
                    </w:r>
                    <w:r>
                      <w:rPr>
                        <w:b/>
                        <w:kern w:val="0"/>
                        <w:sz w:val="18"/>
                        <w:szCs w:val="18"/>
                      </w:rPr>
                      <w:fldChar w:fldCharType="end"/>
                    </w:r>
                    <w:r>
                      <w:rPr>
                        <w:rFonts w:hint="eastAsia"/>
                        <w:kern w:val="0"/>
                        <w:sz w:val="18"/>
                        <w:szCs w:val="18"/>
                      </w:rPr>
                      <w:t xml:space="preserve"> 页</w:t>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ind w:left="482" w:hanging="482"/>
      <w:jc w:val="left"/>
      <w:rPr>
        <w:kern w:val="0"/>
        <w:sz w:val="18"/>
        <w:szCs w:val="21"/>
      </w:rPr>
    </w:pPr>
  </w:p>
  <w:p>
    <w:pPr>
      <w:pStyle w:val="27"/>
      <w:rPr>
        <w:kern w:val="0"/>
        <w:szCs w:val="21"/>
      </w:rPr>
    </w:pPr>
    <w:r>
      <w:rPr>
        <w:rFonts w:hint="eastAsia"/>
        <w:kern w:val="0"/>
      </w:rPr>
      <w:t>地址：湘潭市岳塘区福星中路88号                         传真：0731-58683568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r>
      <w:rPr>
        <w:rFonts w:hint="eastAsia" w:ascii="宋体" w:hAnsi="宋体"/>
      </w:rPr>
      <w:t>实验室废弃物暂存柜设备采购项目</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r>
      <w:rPr>
        <w:rFonts w:hint="eastAsia" w:ascii="宋体" w:hAnsi="宋体"/>
      </w:rPr>
      <w:t>实验室废弃物暂存柜设备采购项目</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r>
      <w:rPr>
        <w:rFonts w:hint="eastAsia"/>
      </w:rPr>
      <w:t xml:space="preserve">湖南科技大学外籍专家楼室内设施建设项目  </w:t>
    </w:r>
    <w:r>
      <w:rPr>
        <w:rFonts w:hint="eastAsia" w:ascii="宋体" w:hAnsi="宋体"/>
      </w:rPr>
      <w:t xml:space="preserve"> </w:t>
    </w:r>
    <w:r>
      <w:rPr>
        <w:rFonts w:hint="eastAsia"/>
      </w:rPr>
      <w:t xml:space="preserve">            第二章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r>
      <w:rPr>
        <w:rFonts w:hint="eastAsia"/>
      </w:rPr>
      <w:t xml:space="preserve">实验室废弃物暂存柜设备采购项目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ascii="宋体" w:hAnsi="宋体"/>
      </w:rPr>
    </w:pPr>
    <w:r>
      <w:rPr>
        <w:rFonts w:hint="eastAsia" w:ascii="宋体" w:hAnsi="宋体"/>
      </w:rPr>
      <w:t xml:space="preserve">实验室废弃物暂存柜设备采购项目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r>
      <w:rPr>
        <w:rFonts w:hint="eastAsia" w:ascii="宋体" w:hAnsi="宋体"/>
      </w:rPr>
      <w:t>实验室废弃物暂存柜设备采购项目</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r>
      <w:rPr>
        <w:rFonts w:hint="eastAsia" w:ascii="宋体" w:hAnsi="宋体"/>
      </w:rPr>
      <w:t>实验室废弃物暂存柜设备采购项目</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decimal"/>
      <w:lvlText w:val="（%1）"/>
      <w:lvlJc w:val="left"/>
      <w:pPr>
        <w:tabs>
          <w:tab w:val="left" w:pos="0"/>
        </w:tabs>
        <w:ind w:left="624" w:hanging="511"/>
      </w:pPr>
      <w:rPr>
        <w:rFonts w:hint="eastAsia" w:eastAsia="仿宋_GB2312"/>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D"/>
    <w:multiLevelType w:val="multilevel"/>
    <w:tmpl w:val="0000000D"/>
    <w:lvl w:ilvl="0" w:tentative="0">
      <w:start w:val="29"/>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
    <w:nsid w:val="0000000F"/>
    <w:multiLevelType w:val="multilevel"/>
    <w:tmpl w:val="0000000F"/>
    <w:lvl w:ilvl="0" w:tentative="0">
      <w:start w:val="1"/>
      <w:numFmt w:val="decimal"/>
      <w:lvlText w:val="（%1）"/>
      <w:lvlJc w:val="left"/>
      <w:pPr>
        <w:tabs>
          <w:tab w:val="left" w:pos="0"/>
        </w:tabs>
        <w:ind w:left="624" w:hanging="511"/>
      </w:pPr>
      <w:rPr>
        <w:rFonts w:hint="eastAsia" w:eastAsia="仿宋_GB2312"/>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36"/>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00000011"/>
    <w:multiLevelType w:val="multilevel"/>
    <w:tmpl w:val="00000011"/>
    <w:lvl w:ilvl="0" w:tentative="0">
      <w:start w:val="32"/>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00000012"/>
    <w:multiLevelType w:val="multilevel"/>
    <w:tmpl w:val="00000012"/>
    <w:lvl w:ilvl="0" w:tentative="0">
      <w:start w:val="33"/>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6">
    <w:nsid w:val="00000013"/>
    <w:multiLevelType w:val="multilevel"/>
    <w:tmpl w:val="00000013"/>
    <w:lvl w:ilvl="0" w:tentative="0">
      <w:start w:val="35"/>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7">
    <w:nsid w:val="00000014"/>
    <w:multiLevelType w:val="multilevel"/>
    <w:tmpl w:val="00000014"/>
    <w:lvl w:ilvl="0" w:tentative="0">
      <w:start w:val="1"/>
      <w:numFmt w:val="decimal"/>
      <w:lvlText w:val="（%1）"/>
      <w:lvlJc w:val="left"/>
      <w:pPr>
        <w:tabs>
          <w:tab w:val="left" w:pos="0"/>
        </w:tabs>
        <w:ind w:left="624" w:hanging="511"/>
      </w:pPr>
      <w:rPr>
        <w:rFonts w:hint="eastAsia" w:eastAsia="仿宋_GB2312"/>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5"/>
    <w:multiLevelType w:val="multilevel"/>
    <w:tmpl w:val="00000015"/>
    <w:lvl w:ilvl="0" w:tentative="0">
      <w:start w:val="13"/>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default" w:ascii="Times New Roman" w:hAnsi="Times New Roman" w:eastAsia="宋体"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9">
    <w:nsid w:val="00000017"/>
    <w:multiLevelType w:val="multilevel"/>
    <w:tmpl w:val="00000017"/>
    <w:lvl w:ilvl="0" w:tentative="0">
      <w:start w:val="21"/>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0">
    <w:nsid w:val="00000018"/>
    <w:multiLevelType w:val="multilevel"/>
    <w:tmpl w:val="00000018"/>
    <w:lvl w:ilvl="0" w:tentative="0">
      <w:start w:val="28"/>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1">
    <w:nsid w:val="0000001A"/>
    <w:multiLevelType w:val="multilevel"/>
    <w:tmpl w:val="0000001A"/>
    <w:lvl w:ilvl="0" w:tentative="0">
      <w:start w:val="1"/>
      <w:numFmt w:val="decimal"/>
      <w:lvlText w:val="（%1）"/>
      <w:lvlJc w:val="left"/>
      <w:pPr>
        <w:tabs>
          <w:tab w:val="left" w:pos="0"/>
        </w:tabs>
        <w:ind w:left="624" w:hanging="511"/>
      </w:pPr>
      <w:rPr>
        <w:rFonts w:hint="eastAsia" w:eastAsia="仿宋_GB2312"/>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B"/>
    <w:multiLevelType w:val="multilevel"/>
    <w:tmpl w:val="0000001B"/>
    <w:lvl w:ilvl="0" w:tentative="0">
      <w:start w:val="18"/>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3">
    <w:nsid w:val="0000001C"/>
    <w:multiLevelType w:val="multilevel"/>
    <w:tmpl w:val="0000001C"/>
    <w:lvl w:ilvl="0" w:tentative="0">
      <w:start w:val="17"/>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4">
    <w:nsid w:val="0000001E"/>
    <w:multiLevelType w:val="multilevel"/>
    <w:tmpl w:val="0000001E"/>
    <w:lvl w:ilvl="0" w:tentative="0">
      <w:start w:val="22"/>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5">
    <w:nsid w:val="0000001F"/>
    <w:multiLevelType w:val="multilevel"/>
    <w:tmpl w:val="0000001F"/>
    <w:lvl w:ilvl="0" w:tentative="0">
      <w:start w:val="26"/>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6">
    <w:nsid w:val="00000023"/>
    <w:multiLevelType w:val="multilevel"/>
    <w:tmpl w:val="00000023"/>
    <w:lvl w:ilvl="0" w:tentative="0">
      <w:start w:val="39"/>
      <w:numFmt w:val="decimal"/>
      <w:lvlText w:val="%1"/>
      <w:lvlJc w:val="left"/>
      <w:pPr>
        <w:tabs>
          <w:tab w:val="left" w:pos="420"/>
        </w:tabs>
        <w:ind w:left="420" w:hanging="420"/>
      </w:pPr>
      <w:rPr>
        <w:rFonts w:hint="default"/>
      </w:rPr>
    </w:lvl>
    <w:lvl w:ilvl="1" w:tentative="0">
      <w:start w:val="1"/>
      <w:numFmt w:val="decimal"/>
      <w:lvlText w:val="%1.%2"/>
      <w:lvlJc w:val="left"/>
      <w:pPr>
        <w:tabs>
          <w:tab w:val="left" w:pos="420"/>
        </w:tabs>
        <w:ind w:left="420" w:hanging="4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7">
    <w:nsid w:val="00000027"/>
    <w:multiLevelType w:val="multilevel"/>
    <w:tmpl w:val="00000027"/>
    <w:lvl w:ilvl="0" w:tentative="0">
      <w:start w:val="1"/>
      <w:numFmt w:val="decimal"/>
      <w:lvlText w:val="（%1）"/>
      <w:lvlJc w:val="left"/>
      <w:pPr>
        <w:tabs>
          <w:tab w:val="left" w:pos="67"/>
        </w:tabs>
        <w:ind w:left="691" w:hanging="511"/>
      </w:pPr>
      <w:rPr>
        <w:rFonts w:hint="eastAsia" w:eastAsia="仿宋_GB2312"/>
        <w:b w:val="0"/>
        <w:i w:val="0"/>
        <w:sz w:val="21"/>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28"/>
    <w:multiLevelType w:val="multilevel"/>
    <w:tmpl w:val="00000028"/>
    <w:lvl w:ilvl="0" w:tentative="0">
      <w:start w:val="37"/>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9">
    <w:nsid w:val="0000002C"/>
    <w:multiLevelType w:val="multilevel"/>
    <w:tmpl w:val="0000002C"/>
    <w:lvl w:ilvl="0" w:tentative="0">
      <w:start w:val="16"/>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0">
    <w:nsid w:val="0000002F"/>
    <w:multiLevelType w:val="multilevel"/>
    <w:tmpl w:val="0000002F"/>
    <w:lvl w:ilvl="0" w:tentative="0">
      <w:start w:val="1"/>
      <w:numFmt w:val="decimal"/>
      <w:lvlText w:val="(%1) "/>
      <w:lvlJc w:val="left"/>
      <w:pPr>
        <w:tabs>
          <w:tab w:val="left" w:pos="624"/>
        </w:tabs>
        <w:ind w:left="0" w:firstLine="340"/>
      </w:pPr>
      <w:rPr>
        <w:rFonts w:hint="default" w:ascii="Times New Roman" w:hAnsi="Times New Roman" w:eastAsia="宋体" w:cs="Times New Roman"/>
        <w:b w:val="0"/>
        <w:i w:val="0"/>
        <w:sz w:val="21"/>
        <w:szCs w:val="21"/>
      </w:rPr>
    </w:lvl>
    <w:lvl w:ilvl="1" w:tentative="0">
      <w:start w:val="1"/>
      <w:numFmt w:val="decimal"/>
      <w:lvlText w:val="%2) "/>
      <w:lvlJc w:val="left"/>
      <w:pPr>
        <w:tabs>
          <w:tab w:val="left" w:pos="0"/>
        </w:tabs>
        <w:ind w:left="0" w:firstLine="454"/>
      </w:pPr>
      <w:rPr>
        <w:rFonts w:hint="eastAsia" w:eastAsia="宋体"/>
        <w:b w:val="0"/>
        <w:i w:val="0"/>
        <w:sz w:val="21"/>
        <w:szCs w:val="21"/>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1">
    <w:nsid w:val="00000030"/>
    <w:multiLevelType w:val="multilevel"/>
    <w:tmpl w:val="00000030"/>
    <w:lvl w:ilvl="0" w:tentative="0">
      <w:start w:val="20"/>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2">
    <w:nsid w:val="00000031"/>
    <w:multiLevelType w:val="multilevel"/>
    <w:tmpl w:val="00000031"/>
    <w:lvl w:ilvl="0" w:tentative="0">
      <w:start w:val="14"/>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3">
    <w:nsid w:val="00000032"/>
    <w:multiLevelType w:val="multilevel"/>
    <w:tmpl w:val="00000032"/>
    <w:lvl w:ilvl="0" w:tentative="0">
      <w:start w:val="11"/>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4">
    <w:nsid w:val="00000034"/>
    <w:multiLevelType w:val="multilevel"/>
    <w:tmpl w:val="00000034"/>
    <w:lvl w:ilvl="0" w:tentative="0">
      <w:start w:val="3"/>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color w:val="auto"/>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5">
    <w:nsid w:val="00000035"/>
    <w:multiLevelType w:val="multilevel"/>
    <w:tmpl w:val="00000035"/>
    <w:lvl w:ilvl="0" w:tentative="0">
      <w:start w:val="38"/>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6">
    <w:nsid w:val="00000038"/>
    <w:multiLevelType w:val="multilevel"/>
    <w:tmpl w:val="00000038"/>
    <w:lvl w:ilvl="0" w:tentative="0">
      <w:start w:val="1"/>
      <w:numFmt w:val="decimal"/>
      <w:lvlText w:val="%1"/>
      <w:lvlJc w:val="center"/>
      <w:pPr>
        <w:tabs>
          <w:tab w:val="left" w:pos="0"/>
        </w:tabs>
        <w:ind w:left="397" w:firstLine="128"/>
      </w:pPr>
      <w:rPr>
        <w:rFonts w:hint="eastAsia" w:eastAsia="仿宋_GB2312"/>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39"/>
    <w:multiLevelType w:val="multilevel"/>
    <w:tmpl w:val="00000039"/>
    <w:lvl w:ilvl="0" w:tentative="0">
      <w:start w:val="24"/>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8">
    <w:nsid w:val="0000003B"/>
    <w:multiLevelType w:val="multilevel"/>
    <w:tmpl w:val="0000003B"/>
    <w:lvl w:ilvl="0" w:tentative="0">
      <w:start w:val="19"/>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9">
    <w:nsid w:val="0000003C"/>
    <w:multiLevelType w:val="multilevel"/>
    <w:tmpl w:val="0000003C"/>
    <w:lvl w:ilvl="0" w:tentative="0">
      <w:start w:val="7"/>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default" w:ascii="Times New Roman" w:hAnsi="Times New Roman" w:eastAsia="宋体"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0">
    <w:nsid w:val="0000003D"/>
    <w:multiLevelType w:val="multilevel"/>
    <w:tmpl w:val="0000003D"/>
    <w:lvl w:ilvl="0" w:tentative="0">
      <w:start w:val="15"/>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1">
    <w:nsid w:val="0000003E"/>
    <w:multiLevelType w:val="multilevel"/>
    <w:tmpl w:val="0000003E"/>
    <w:lvl w:ilvl="0" w:tentative="0">
      <w:start w:val="6"/>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2">
    <w:nsid w:val="0000003F"/>
    <w:multiLevelType w:val="multilevel"/>
    <w:tmpl w:val="0000003F"/>
    <w:lvl w:ilvl="0" w:tentative="0">
      <w:start w:val="25"/>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3">
    <w:nsid w:val="00000040"/>
    <w:multiLevelType w:val="multilevel"/>
    <w:tmpl w:val="00000040"/>
    <w:lvl w:ilvl="0" w:tentative="0">
      <w:start w:val="2"/>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4">
    <w:nsid w:val="00000041"/>
    <w:multiLevelType w:val="multilevel"/>
    <w:tmpl w:val="00000041"/>
    <w:lvl w:ilvl="0" w:tentative="0">
      <w:start w:val="27"/>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5">
    <w:nsid w:val="00000043"/>
    <w:multiLevelType w:val="multilevel"/>
    <w:tmpl w:val="00000043"/>
    <w:lvl w:ilvl="0" w:tentative="0">
      <w:start w:val="1"/>
      <w:numFmt w:val="decimal"/>
      <w:lvlText w:val="（%1）"/>
      <w:lvlJc w:val="left"/>
      <w:pPr>
        <w:tabs>
          <w:tab w:val="left" w:pos="0"/>
        </w:tabs>
        <w:ind w:left="624" w:hanging="511"/>
      </w:pPr>
      <w:rPr>
        <w:rFonts w:hint="eastAsia" w:eastAsia="仿宋_GB2312"/>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00000044"/>
    <w:multiLevelType w:val="multilevel"/>
    <w:tmpl w:val="00000044"/>
    <w:lvl w:ilvl="0" w:tentative="0">
      <w:start w:val="9"/>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7">
    <w:nsid w:val="00000045"/>
    <w:multiLevelType w:val="multilevel"/>
    <w:tmpl w:val="00000045"/>
    <w:lvl w:ilvl="0" w:tentative="0">
      <w:start w:val="4"/>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8">
    <w:nsid w:val="00000046"/>
    <w:multiLevelType w:val="multilevel"/>
    <w:tmpl w:val="00000046"/>
    <w:lvl w:ilvl="0" w:tentative="0">
      <w:start w:val="1"/>
      <w:numFmt w:val="chineseCountingThousand"/>
      <w:lvlText w:val="第%1章  "/>
      <w:lvlJc w:val="left"/>
      <w:pPr>
        <w:tabs>
          <w:tab w:val="left" w:pos="680"/>
        </w:tabs>
        <w:ind w:left="0" w:firstLine="680"/>
      </w:pPr>
      <w:rPr>
        <w:rFonts w:hint="eastAsia" w:eastAsia="宋体"/>
        <w:b w:val="0"/>
        <w:i w:val="0"/>
        <w:sz w:val="24"/>
      </w:rPr>
    </w:lvl>
    <w:lvl w:ilvl="1" w:tentative="0">
      <w:start w:val="1"/>
      <w:numFmt w:val="lowerLetter"/>
      <w:lvlText w:val="%2)"/>
      <w:lvlJc w:val="left"/>
      <w:pPr>
        <w:tabs>
          <w:tab w:val="left" w:pos="840"/>
        </w:tabs>
        <w:ind w:left="840" w:hanging="420"/>
      </w:pPr>
    </w:lvl>
    <w:lvl w:ilvl="2" w:tentative="0">
      <w:start w:val="1"/>
      <w:numFmt w:val="chineseCountingThousand"/>
      <w:lvlText w:val="第%3章  "/>
      <w:lvlJc w:val="left"/>
      <w:pPr>
        <w:tabs>
          <w:tab w:val="left" w:pos="0"/>
        </w:tabs>
        <w:ind w:left="0" w:firstLine="680"/>
      </w:pPr>
      <w:rPr>
        <w:rFonts w:hint="eastAsia" w:ascii="仿宋_GB2312" w:eastAsia="仿宋_GB2312"/>
        <w:b w:val="0"/>
        <w:i w:val="0"/>
        <w:sz w:val="21"/>
        <w:szCs w:val="21"/>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00000047"/>
    <w:multiLevelType w:val="multilevel"/>
    <w:tmpl w:val="00000047"/>
    <w:lvl w:ilvl="0" w:tentative="0">
      <w:start w:val="1"/>
      <w:numFmt w:val="decimal"/>
      <w:lvlText w:val="（%1）"/>
      <w:lvlJc w:val="left"/>
      <w:pPr>
        <w:tabs>
          <w:tab w:val="left" w:pos="0"/>
        </w:tabs>
        <w:ind w:left="624" w:hanging="511"/>
      </w:pPr>
      <w:rPr>
        <w:rFonts w:hint="eastAsia" w:eastAsia="仿宋_GB2312"/>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00000049"/>
    <w:multiLevelType w:val="multilevel"/>
    <w:tmpl w:val="00000049"/>
    <w:lvl w:ilvl="0" w:tentative="0">
      <w:start w:val="1"/>
      <w:numFmt w:val="chineseCountingThousand"/>
      <w:lvlText w:val="第%1部分"/>
      <w:legacy w:legacy="1" w:legacySpace="0" w:legacyIndent="0"/>
      <w:lvlJc w:val="center"/>
    </w:lvl>
    <w:lvl w:ilvl="1" w:tentative="0">
      <w:start w:val="1"/>
      <w:numFmt w:val="none"/>
      <w:pStyle w:val="3"/>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41">
    <w:nsid w:val="0000004A"/>
    <w:multiLevelType w:val="multilevel"/>
    <w:tmpl w:val="0000004A"/>
    <w:lvl w:ilvl="0" w:tentative="0">
      <w:start w:val="1"/>
      <w:numFmt w:val="chineseCountingThousand"/>
      <w:lvlText w:val="%1、"/>
      <w:lvlJc w:val="left"/>
      <w:pPr>
        <w:tabs>
          <w:tab w:val="left" w:pos="0"/>
        </w:tabs>
        <w:ind w:left="0" w:firstLine="0"/>
      </w:pPr>
      <w:rPr>
        <w:rFonts w:hint="eastAsia" w:ascii="宋体" w:hAnsi="宋体" w:eastAsia="宋体"/>
        <w:b/>
        <w:i w:val="0"/>
        <w:sz w:val="30"/>
      </w:rPr>
    </w:lvl>
    <w:lvl w:ilvl="1" w:tentative="0">
      <w:start w:val="1"/>
      <w:numFmt w:val="decimal"/>
      <w:lvlText w:val="%2."/>
      <w:lvlJc w:val="left"/>
      <w:pPr>
        <w:tabs>
          <w:tab w:val="left" w:pos="680"/>
        </w:tabs>
        <w:ind w:left="0" w:firstLine="0"/>
      </w:pPr>
      <w:rPr>
        <w:rFonts w:hint="eastAsia" w:eastAsia="宋体"/>
        <w:b/>
        <w:i w:val="0"/>
        <w:sz w:val="24"/>
      </w:rPr>
    </w:lvl>
    <w:lvl w:ilvl="2" w:tentative="0">
      <w:start w:val="1"/>
      <w:numFmt w:val="japaneseCounting"/>
      <w:lvlText w:val="第%3章"/>
      <w:lvlJc w:val="left"/>
      <w:pPr>
        <w:tabs>
          <w:tab w:val="left" w:pos="1800"/>
        </w:tabs>
        <w:ind w:left="1800" w:hanging="9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0000004E"/>
    <w:multiLevelType w:val="multilevel"/>
    <w:tmpl w:val="0000004E"/>
    <w:lvl w:ilvl="0" w:tentative="0">
      <w:start w:val="10"/>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3">
    <w:nsid w:val="0000004F"/>
    <w:multiLevelType w:val="multilevel"/>
    <w:tmpl w:val="0000004F"/>
    <w:lvl w:ilvl="0" w:tentative="0">
      <w:start w:val="5"/>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4">
    <w:nsid w:val="00000051"/>
    <w:multiLevelType w:val="multilevel"/>
    <w:tmpl w:val="00000051"/>
    <w:lvl w:ilvl="0" w:tentative="0">
      <w:start w:val="31"/>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5">
    <w:nsid w:val="00000053"/>
    <w:multiLevelType w:val="multilevel"/>
    <w:tmpl w:val="00000053"/>
    <w:lvl w:ilvl="0" w:tentative="0">
      <w:start w:val="23"/>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6">
    <w:nsid w:val="00000055"/>
    <w:multiLevelType w:val="multilevel"/>
    <w:tmpl w:val="00000055"/>
    <w:lvl w:ilvl="0" w:tentative="0">
      <w:start w:val="34"/>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7">
    <w:nsid w:val="00000056"/>
    <w:multiLevelType w:val="multilevel"/>
    <w:tmpl w:val="00000056"/>
    <w:lvl w:ilvl="0" w:tentative="0">
      <w:start w:val="12"/>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8">
    <w:nsid w:val="00000057"/>
    <w:multiLevelType w:val="multilevel"/>
    <w:tmpl w:val="00000057"/>
    <w:lvl w:ilvl="0" w:tentative="0">
      <w:start w:val="1"/>
      <w:numFmt w:val="decimal"/>
      <w:lvlText w:val="（%1）"/>
      <w:lvlJc w:val="left"/>
      <w:pPr>
        <w:tabs>
          <w:tab w:val="left" w:pos="0"/>
        </w:tabs>
        <w:ind w:left="624" w:hanging="511"/>
      </w:pPr>
      <w:rPr>
        <w:rFonts w:hint="eastAsia" w:eastAsia="仿宋_GB2312"/>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00000058"/>
    <w:multiLevelType w:val="multilevel"/>
    <w:tmpl w:val="00000058"/>
    <w:lvl w:ilvl="0" w:tentative="0">
      <w:start w:val="1"/>
      <w:numFmt w:val="decimal"/>
      <w:lvlText w:val="（%1）"/>
      <w:lvlJc w:val="left"/>
      <w:pPr>
        <w:tabs>
          <w:tab w:val="left" w:pos="0"/>
        </w:tabs>
        <w:ind w:left="624" w:hanging="511"/>
      </w:pPr>
      <w:rPr>
        <w:rFonts w:hint="eastAsia" w:eastAsia="仿宋_GB2312"/>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0000005A"/>
    <w:multiLevelType w:val="multilevel"/>
    <w:tmpl w:val="0000005A"/>
    <w:lvl w:ilvl="0" w:tentative="0">
      <w:start w:val="8"/>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1">
    <w:nsid w:val="0000005B"/>
    <w:multiLevelType w:val="multilevel"/>
    <w:tmpl w:val="0000005B"/>
    <w:lvl w:ilvl="0" w:tentative="0">
      <w:start w:val="1"/>
      <w:numFmt w:val="decimal"/>
      <w:lvlText w:val="%1."/>
      <w:lvlJc w:val="left"/>
      <w:pPr>
        <w:tabs>
          <w:tab w:val="left" w:pos="680"/>
        </w:tabs>
        <w:ind w:left="680" w:hanging="680"/>
      </w:pPr>
      <w:rPr>
        <w:rFonts w:hint="eastAsia" w:eastAsia="宋体"/>
        <w:b/>
        <w:i w:val="0"/>
        <w:color w:val="auto"/>
        <w:sz w:val="24"/>
      </w:rPr>
    </w:lvl>
    <w:lvl w:ilvl="1" w:tentative="0">
      <w:start w:val="1"/>
      <w:numFmt w:val="decimal"/>
      <w:lvlText w:val="%2."/>
      <w:lvlJc w:val="left"/>
      <w:pPr>
        <w:tabs>
          <w:tab w:val="left" w:pos="680"/>
        </w:tabs>
        <w:ind w:left="680" w:hanging="680"/>
      </w:pPr>
      <w:rPr>
        <w:rFonts w:hint="eastAsia" w:eastAsia="宋体"/>
        <w:b/>
        <w:i w:val="0"/>
        <w:sz w:val="24"/>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2">
    <w:nsid w:val="0000005C"/>
    <w:multiLevelType w:val="multilevel"/>
    <w:tmpl w:val="0000005C"/>
    <w:lvl w:ilvl="0" w:tentative="0">
      <w:start w:val="1"/>
      <w:numFmt w:val="decimal"/>
      <w:lvlText w:val="%1."/>
      <w:lvlJc w:val="left"/>
      <w:pPr>
        <w:tabs>
          <w:tab w:val="left" w:pos="680"/>
        </w:tabs>
        <w:ind w:left="680" w:hanging="680"/>
      </w:pPr>
      <w:rPr>
        <w:rFonts w:hint="eastAsia" w:eastAsia="宋体"/>
        <w:b/>
        <w:i w:val="0"/>
        <w:sz w:val="24"/>
      </w:rPr>
    </w:lvl>
    <w:lvl w:ilvl="1" w:tentative="0">
      <w:start w:val="1"/>
      <w:numFmt w:val="decimal"/>
      <w:lvlText w:val="%1.%2"/>
      <w:lvlJc w:val="left"/>
      <w:pPr>
        <w:tabs>
          <w:tab w:val="left" w:pos="680"/>
        </w:tabs>
        <w:ind w:left="680" w:hanging="680"/>
      </w:pPr>
      <w:rPr>
        <w:rFonts w:hint="eastAsia" w:ascii="仿宋_GB2312" w:hAnsi="Times New Roman" w:eastAsia="仿宋_GB2312" w:cs="Times New Roman"/>
        <w:b w:val="0"/>
        <w:sz w:val="21"/>
        <w:szCs w:val="21"/>
      </w:rPr>
    </w:lvl>
    <w:lvl w:ilvl="2" w:tentative="0">
      <w:start w:val="1"/>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3">
    <w:nsid w:val="00000063"/>
    <w:multiLevelType w:val="multilevel"/>
    <w:tmpl w:val="00000063"/>
    <w:lvl w:ilvl="0" w:tentative="0">
      <w:start w:val="1"/>
      <w:numFmt w:val="decimal"/>
      <w:lvlText w:val="（%1）"/>
      <w:lvlJc w:val="left"/>
      <w:pPr>
        <w:tabs>
          <w:tab w:val="left" w:pos="0"/>
        </w:tabs>
        <w:ind w:left="624" w:hanging="511"/>
      </w:pPr>
      <w:rPr>
        <w:rFonts w:hint="eastAsia" w:eastAsia="仿宋_GB2312"/>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4">
    <w:nsid w:val="00000067"/>
    <w:multiLevelType w:val="multilevel"/>
    <w:tmpl w:val="00000067"/>
    <w:lvl w:ilvl="0" w:tentative="0">
      <w:start w:val="1"/>
      <w:numFmt w:val="decimal"/>
      <w:lvlText w:val="（%1）"/>
      <w:lvlJc w:val="left"/>
      <w:pPr>
        <w:tabs>
          <w:tab w:val="left" w:pos="0"/>
        </w:tabs>
        <w:ind w:left="624" w:hanging="511"/>
      </w:pPr>
      <w:rPr>
        <w:rFonts w:hint="eastAsia" w:eastAsia="仿宋_GB2312"/>
        <w:b w:val="0"/>
        <w:i w:val="0"/>
        <w:sz w:val="21"/>
      </w:rPr>
    </w:lvl>
    <w:lvl w:ilvl="1" w:tentative="0">
      <w:start w:val="2"/>
      <w:numFmt w:val="japaneseCounting"/>
      <w:lvlText w:val="%2、"/>
      <w:lvlJc w:val="left"/>
      <w:pPr>
        <w:tabs>
          <w:tab w:val="left" w:pos="1140"/>
        </w:tabs>
        <w:ind w:left="11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5">
    <w:nsid w:val="00000069"/>
    <w:multiLevelType w:val="multilevel"/>
    <w:tmpl w:val="00000069"/>
    <w:lvl w:ilvl="0" w:tentative="0">
      <w:start w:val="1"/>
      <w:numFmt w:val="decimal"/>
      <w:lvlText w:val="（%1）"/>
      <w:lvlJc w:val="left"/>
      <w:pPr>
        <w:tabs>
          <w:tab w:val="left" w:pos="0"/>
        </w:tabs>
        <w:ind w:left="624" w:hanging="511"/>
      </w:pPr>
      <w:rPr>
        <w:rFonts w:hint="eastAsia" w:eastAsia="仿宋_GB2312"/>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6">
    <w:nsid w:val="0000006A"/>
    <w:multiLevelType w:val="multilevel"/>
    <w:tmpl w:val="0000006A"/>
    <w:lvl w:ilvl="0" w:tentative="0">
      <w:start w:val="1"/>
      <w:numFmt w:val="decimal"/>
      <w:lvlText w:val="（%1）"/>
      <w:lvlJc w:val="left"/>
      <w:pPr>
        <w:tabs>
          <w:tab w:val="left" w:pos="0"/>
        </w:tabs>
        <w:ind w:left="624" w:hanging="511"/>
      </w:pPr>
      <w:rPr>
        <w:rFonts w:hint="eastAsia" w:eastAsia="仿宋_GB2312"/>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7">
    <w:nsid w:val="0000006B"/>
    <w:multiLevelType w:val="multilevel"/>
    <w:tmpl w:val="0000006B"/>
    <w:lvl w:ilvl="0" w:tentative="0">
      <w:start w:val="1"/>
      <w:numFmt w:val="decimal"/>
      <w:lvlText w:val="（%1）"/>
      <w:lvlJc w:val="left"/>
      <w:pPr>
        <w:tabs>
          <w:tab w:val="left" w:pos="0"/>
        </w:tabs>
        <w:ind w:left="624" w:hanging="511"/>
      </w:pPr>
      <w:rPr>
        <w:rFonts w:hint="eastAsia" w:eastAsia="仿宋_GB2312"/>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8">
    <w:nsid w:val="0000006E"/>
    <w:multiLevelType w:val="multilevel"/>
    <w:tmpl w:val="0000006E"/>
    <w:lvl w:ilvl="0" w:tentative="0">
      <w:start w:val="1"/>
      <w:numFmt w:val="decimal"/>
      <w:lvlText w:val="（%1）"/>
      <w:lvlJc w:val="left"/>
      <w:pPr>
        <w:tabs>
          <w:tab w:val="left" w:pos="0"/>
        </w:tabs>
        <w:ind w:left="624" w:hanging="511"/>
      </w:pPr>
      <w:rPr>
        <w:rFonts w:hint="eastAsia" w:eastAsia="仿宋_GB2312"/>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9">
    <w:nsid w:val="00FB4253"/>
    <w:multiLevelType w:val="multilevel"/>
    <w:tmpl w:val="00FB4253"/>
    <w:lvl w:ilvl="0" w:tentative="0">
      <w:start w:val="1"/>
      <w:numFmt w:val="decimal"/>
      <w:lvlText w:val="%1."/>
      <w:lvlJc w:val="left"/>
      <w:pPr>
        <w:ind w:left="420" w:hanging="420"/>
      </w:pPr>
      <w:rPr>
        <w:rFonts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0">
    <w:nsid w:val="0D8344B8"/>
    <w:multiLevelType w:val="singleLevel"/>
    <w:tmpl w:val="0D8344B8"/>
    <w:lvl w:ilvl="0" w:tentative="0">
      <w:start w:val="1"/>
      <w:numFmt w:val="chineseCounting"/>
      <w:suff w:val="space"/>
      <w:lvlText w:val="第%1章"/>
      <w:lvlJc w:val="left"/>
      <w:rPr>
        <w:rFonts w:hint="eastAsia"/>
      </w:rPr>
    </w:lvl>
  </w:abstractNum>
  <w:abstractNum w:abstractNumId="61">
    <w:nsid w:val="108A3561"/>
    <w:multiLevelType w:val="multilevel"/>
    <w:tmpl w:val="108A3561"/>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58422DE9"/>
    <w:multiLevelType w:val="multilevel"/>
    <w:tmpl w:val="58422DE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3">
    <w:nsid w:val="5A138395"/>
    <w:multiLevelType w:val="singleLevel"/>
    <w:tmpl w:val="5A138395"/>
    <w:lvl w:ilvl="0" w:tentative="0">
      <w:start w:val="2"/>
      <w:numFmt w:val="chineseCounting"/>
      <w:suff w:val="nothing"/>
      <w:lvlText w:val="%1、"/>
      <w:lvlJc w:val="left"/>
    </w:lvl>
  </w:abstractNum>
  <w:abstractNum w:abstractNumId="64">
    <w:nsid w:val="5A541D8B"/>
    <w:multiLevelType w:val="singleLevel"/>
    <w:tmpl w:val="5A541D8B"/>
    <w:lvl w:ilvl="0" w:tentative="0">
      <w:start w:val="1"/>
      <w:numFmt w:val="decimal"/>
      <w:suff w:val="nothing"/>
      <w:lvlText w:val="%1、"/>
      <w:lvlJc w:val="left"/>
    </w:lvl>
  </w:abstractNum>
  <w:num w:numId="1">
    <w:abstractNumId w:val="40"/>
  </w:num>
  <w:num w:numId="2">
    <w:abstractNumId w:val="26"/>
  </w:num>
  <w:num w:numId="3">
    <w:abstractNumId w:val="60"/>
  </w:num>
  <w:num w:numId="4">
    <w:abstractNumId w:val="61"/>
  </w:num>
  <w:num w:numId="5">
    <w:abstractNumId w:val="41"/>
  </w:num>
  <w:num w:numId="6">
    <w:abstractNumId w:val="51"/>
  </w:num>
  <w:num w:numId="7">
    <w:abstractNumId w:val="52"/>
  </w:num>
  <w:num w:numId="8">
    <w:abstractNumId w:val="33"/>
  </w:num>
  <w:num w:numId="9">
    <w:abstractNumId w:val="24"/>
  </w:num>
  <w:num w:numId="10">
    <w:abstractNumId w:val="49"/>
  </w:num>
  <w:num w:numId="11">
    <w:abstractNumId w:val="37"/>
  </w:num>
  <w:num w:numId="12">
    <w:abstractNumId w:val="43"/>
  </w:num>
  <w:num w:numId="13">
    <w:abstractNumId w:val="31"/>
  </w:num>
  <w:num w:numId="14">
    <w:abstractNumId w:val="29"/>
  </w:num>
  <w:num w:numId="15">
    <w:abstractNumId w:val="38"/>
  </w:num>
  <w:num w:numId="16">
    <w:abstractNumId w:val="50"/>
  </w:num>
  <w:num w:numId="17">
    <w:abstractNumId w:val="36"/>
  </w:num>
  <w:num w:numId="18">
    <w:abstractNumId w:val="42"/>
  </w:num>
  <w:num w:numId="19">
    <w:abstractNumId w:val="23"/>
  </w:num>
  <w:num w:numId="20">
    <w:abstractNumId w:val="47"/>
  </w:num>
  <w:num w:numId="21">
    <w:abstractNumId w:val="48"/>
  </w:num>
  <w:num w:numId="22">
    <w:abstractNumId w:val="35"/>
  </w:num>
  <w:num w:numId="23">
    <w:abstractNumId w:val="20"/>
  </w:num>
  <w:num w:numId="24">
    <w:abstractNumId w:val="17"/>
  </w:num>
  <w:num w:numId="25">
    <w:abstractNumId w:val="57"/>
  </w:num>
  <w:num w:numId="26">
    <w:abstractNumId w:val="8"/>
  </w:num>
  <w:num w:numId="27">
    <w:abstractNumId w:val="22"/>
  </w:num>
  <w:num w:numId="28">
    <w:abstractNumId w:val="30"/>
  </w:num>
  <w:num w:numId="29">
    <w:abstractNumId w:val="53"/>
  </w:num>
  <w:num w:numId="30">
    <w:abstractNumId w:val="39"/>
  </w:num>
  <w:num w:numId="31">
    <w:abstractNumId w:val="19"/>
  </w:num>
  <w:num w:numId="32">
    <w:abstractNumId w:val="58"/>
  </w:num>
  <w:num w:numId="33">
    <w:abstractNumId w:val="13"/>
  </w:num>
  <w:num w:numId="34">
    <w:abstractNumId w:val="12"/>
  </w:num>
  <w:num w:numId="35">
    <w:abstractNumId w:val="28"/>
  </w:num>
  <w:num w:numId="36">
    <w:abstractNumId w:val="21"/>
  </w:num>
  <w:num w:numId="37">
    <w:abstractNumId w:val="9"/>
  </w:num>
  <w:num w:numId="38">
    <w:abstractNumId w:val="14"/>
  </w:num>
  <w:num w:numId="39">
    <w:abstractNumId w:val="7"/>
  </w:num>
  <w:num w:numId="40">
    <w:abstractNumId w:val="45"/>
  </w:num>
  <w:num w:numId="41">
    <w:abstractNumId w:val="27"/>
  </w:num>
  <w:num w:numId="42">
    <w:abstractNumId w:val="32"/>
  </w:num>
  <w:num w:numId="43">
    <w:abstractNumId w:val="0"/>
  </w:num>
  <w:num w:numId="44">
    <w:abstractNumId w:val="2"/>
  </w:num>
  <w:num w:numId="45">
    <w:abstractNumId w:val="15"/>
  </w:num>
  <w:num w:numId="46">
    <w:abstractNumId w:val="11"/>
  </w:num>
  <w:num w:numId="47">
    <w:abstractNumId w:val="34"/>
  </w:num>
  <w:num w:numId="48">
    <w:abstractNumId w:val="56"/>
  </w:num>
  <w:num w:numId="49">
    <w:abstractNumId w:val="10"/>
  </w:num>
  <w:num w:numId="50">
    <w:abstractNumId w:val="1"/>
  </w:num>
  <w:num w:numId="51">
    <w:abstractNumId w:val="54"/>
  </w:num>
  <w:num w:numId="52">
    <w:abstractNumId w:val="44"/>
  </w:num>
  <w:num w:numId="53">
    <w:abstractNumId w:val="4"/>
  </w:num>
  <w:num w:numId="54">
    <w:abstractNumId w:val="5"/>
  </w:num>
  <w:num w:numId="55">
    <w:abstractNumId w:val="46"/>
  </w:num>
  <w:num w:numId="56">
    <w:abstractNumId w:val="6"/>
  </w:num>
  <w:num w:numId="57">
    <w:abstractNumId w:val="3"/>
  </w:num>
  <w:num w:numId="58">
    <w:abstractNumId w:val="18"/>
  </w:num>
  <w:num w:numId="59">
    <w:abstractNumId w:val="55"/>
  </w:num>
  <w:num w:numId="60">
    <w:abstractNumId w:val="25"/>
  </w:num>
  <w:num w:numId="61">
    <w:abstractNumId w:val="16"/>
  </w:num>
  <w:num w:numId="62">
    <w:abstractNumId w:val="62"/>
  </w:num>
  <w:num w:numId="63">
    <w:abstractNumId w:val="59"/>
  </w:num>
  <w:num w:numId="64">
    <w:abstractNumId w:val="63"/>
  </w:num>
  <w:num w:numId="65">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TrueTypeFonts/>
  <w:saveSubsetFonts/>
  <w:documentProtection w:enforcement="0"/>
  <w:defaultTabStop w:val="0"/>
  <w:drawingGridHorizontalSpacing w:val="105"/>
  <w:drawingGridVerticalSpacing w:val="156"/>
  <w:displayHorizont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6F9"/>
    <w:rsid w:val="00006578"/>
    <w:rsid w:val="00012362"/>
    <w:rsid w:val="000239DA"/>
    <w:rsid w:val="00024922"/>
    <w:rsid w:val="00024B8E"/>
    <w:rsid w:val="00031722"/>
    <w:rsid w:val="0004178B"/>
    <w:rsid w:val="00042479"/>
    <w:rsid w:val="00061674"/>
    <w:rsid w:val="000626AC"/>
    <w:rsid w:val="000677E4"/>
    <w:rsid w:val="00072E30"/>
    <w:rsid w:val="00082BBA"/>
    <w:rsid w:val="00093B76"/>
    <w:rsid w:val="00095709"/>
    <w:rsid w:val="000D2517"/>
    <w:rsid w:val="000D3B8E"/>
    <w:rsid w:val="000D47E0"/>
    <w:rsid w:val="000E21E7"/>
    <w:rsid w:val="000F07C3"/>
    <w:rsid w:val="00100DE4"/>
    <w:rsid w:val="001111FE"/>
    <w:rsid w:val="00116132"/>
    <w:rsid w:val="0011751C"/>
    <w:rsid w:val="00122A46"/>
    <w:rsid w:val="001310EF"/>
    <w:rsid w:val="0014170F"/>
    <w:rsid w:val="00142F1E"/>
    <w:rsid w:val="00143541"/>
    <w:rsid w:val="00151ADE"/>
    <w:rsid w:val="00170C5E"/>
    <w:rsid w:val="00172A27"/>
    <w:rsid w:val="00181338"/>
    <w:rsid w:val="001A26CB"/>
    <w:rsid w:val="001A699B"/>
    <w:rsid w:val="001D7235"/>
    <w:rsid w:val="001E228D"/>
    <w:rsid w:val="00226B69"/>
    <w:rsid w:val="00233FAE"/>
    <w:rsid w:val="002462BC"/>
    <w:rsid w:val="00251C5A"/>
    <w:rsid w:val="002701B3"/>
    <w:rsid w:val="002708BE"/>
    <w:rsid w:val="00271C3B"/>
    <w:rsid w:val="0027326E"/>
    <w:rsid w:val="00274EB8"/>
    <w:rsid w:val="002920B9"/>
    <w:rsid w:val="002930FE"/>
    <w:rsid w:val="002A7321"/>
    <w:rsid w:val="002D1F79"/>
    <w:rsid w:val="002E0BD2"/>
    <w:rsid w:val="002E206A"/>
    <w:rsid w:val="002E540C"/>
    <w:rsid w:val="002F22B4"/>
    <w:rsid w:val="002F3F00"/>
    <w:rsid w:val="00311B09"/>
    <w:rsid w:val="0031380B"/>
    <w:rsid w:val="00330823"/>
    <w:rsid w:val="003472BC"/>
    <w:rsid w:val="00353741"/>
    <w:rsid w:val="00360797"/>
    <w:rsid w:val="00371F0D"/>
    <w:rsid w:val="00395361"/>
    <w:rsid w:val="003A7CB1"/>
    <w:rsid w:val="003B6FAA"/>
    <w:rsid w:val="003C6EC6"/>
    <w:rsid w:val="003D505F"/>
    <w:rsid w:val="003D643E"/>
    <w:rsid w:val="003E72E9"/>
    <w:rsid w:val="003F1035"/>
    <w:rsid w:val="003F75E0"/>
    <w:rsid w:val="00410A47"/>
    <w:rsid w:val="00412FBA"/>
    <w:rsid w:val="004175C1"/>
    <w:rsid w:val="004233B0"/>
    <w:rsid w:val="004249C1"/>
    <w:rsid w:val="00431E49"/>
    <w:rsid w:val="00455BFC"/>
    <w:rsid w:val="004574C9"/>
    <w:rsid w:val="004620EF"/>
    <w:rsid w:val="00474082"/>
    <w:rsid w:val="0048355F"/>
    <w:rsid w:val="0049378B"/>
    <w:rsid w:val="004A5AAF"/>
    <w:rsid w:val="004B454D"/>
    <w:rsid w:val="004C5A82"/>
    <w:rsid w:val="004D50F7"/>
    <w:rsid w:val="004F18A4"/>
    <w:rsid w:val="004F1F2F"/>
    <w:rsid w:val="004F5E0A"/>
    <w:rsid w:val="005043E6"/>
    <w:rsid w:val="0051309E"/>
    <w:rsid w:val="00516029"/>
    <w:rsid w:val="00521171"/>
    <w:rsid w:val="005270FB"/>
    <w:rsid w:val="005302A1"/>
    <w:rsid w:val="0054191E"/>
    <w:rsid w:val="005456FC"/>
    <w:rsid w:val="00547D58"/>
    <w:rsid w:val="00563306"/>
    <w:rsid w:val="00566C04"/>
    <w:rsid w:val="005731C0"/>
    <w:rsid w:val="00583488"/>
    <w:rsid w:val="005D1F63"/>
    <w:rsid w:val="005E5A44"/>
    <w:rsid w:val="005F0F4D"/>
    <w:rsid w:val="00604D3B"/>
    <w:rsid w:val="00605CB2"/>
    <w:rsid w:val="00615EF9"/>
    <w:rsid w:val="00616DBC"/>
    <w:rsid w:val="0062358B"/>
    <w:rsid w:val="006273D3"/>
    <w:rsid w:val="00640F58"/>
    <w:rsid w:val="00652BA7"/>
    <w:rsid w:val="00657FBA"/>
    <w:rsid w:val="00693BEC"/>
    <w:rsid w:val="006A7C18"/>
    <w:rsid w:val="006C5B91"/>
    <w:rsid w:val="006D60BF"/>
    <w:rsid w:val="006E62FC"/>
    <w:rsid w:val="006E7152"/>
    <w:rsid w:val="006F1FCA"/>
    <w:rsid w:val="00713D5A"/>
    <w:rsid w:val="00722018"/>
    <w:rsid w:val="00735DD6"/>
    <w:rsid w:val="00735F1D"/>
    <w:rsid w:val="007651EF"/>
    <w:rsid w:val="00782915"/>
    <w:rsid w:val="007A3B2E"/>
    <w:rsid w:val="007C2A39"/>
    <w:rsid w:val="007F3D84"/>
    <w:rsid w:val="0082785E"/>
    <w:rsid w:val="00840DB1"/>
    <w:rsid w:val="00855A3C"/>
    <w:rsid w:val="008663BB"/>
    <w:rsid w:val="008673BD"/>
    <w:rsid w:val="008705C1"/>
    <w:rsid w:val="00877937"/>
    <w:rsid w:val="00880FAE"/>
    <w:rsid w:val="00893C26"/>
    <w:rsid w:val="00893DB8"/>
    <w:rsid w:val="00897DF5"/>
    <w:rsid w:val="008A042F"/>
    <w:rsid w:val="008A5787"/>
    <w:rsid w:val="008A6223"/>
    <w:rsid w:val="008B07FA"/>
    <w:rsid w:val="008B1DC6"/>
    <w:rsid w:val="008B52F0"/>
    <w:rsid w:val="008B59F4"/>
    <w:rsid w:val="008C460A"/>
    <w:rsid w:val="008C6135"/>
    <w:rsid w:val="008E0770"/>
    <w:rsid w:val="009246CE"/>
    <w:rsid w:val="009432B3"/>
    <w:rsid w:val="00950FA2"/>
    <w:rsid w:val="0095725F"/>
    <w:rsid w:val="00957F1E"/>
    <w:rsid w:val="00964069"/>
    <w:rsid w:val="009A2E34"/>
    <w:rsid w:val="009A31D7"/>
    <w:rsid w:val="009B008E"/>
    <w:rsid w:val="009B452D"/>
    <w:rsid w:val="009C23EA"/>
    <w:rsid w:val="009C434B"/>
    <w:rsid w:val="009C742C"/>
    <w:rsid w:val="009D4B0F"/>
    <w:rsid w:val="009D4F1C"/>
    <w:rsid w:val="009E41E4"/>
    <w:rsid w:val="009F4041"/>
    <w:rsid w:val="00A0496F"/>
    <w:rsid w:val="00A07767"/>
    <w:rsid w:val="00A079D3"/>
    <w:rsid w:val="00A13593"/>
    <w:rsid w:val="00A2700C"/>
    <w:rsid w:val="00A35B7B"/>
    <w:rsid w:val="00A3630E"/>
    <w:rsid w:val="00A4665A"/>
    <w:rsid w:val="00A477FE"/>
    <w:rsid w:val="00A47842"/>
    <w:rsid w:val="00A47FA1"/>
    <w:rsid w:val="00A60576"/>
    <w:rsid w:val="00A67936"/>
    <w:rsid w:val="00A81429"/>
    <w:rsid w:val="00A92282"/>
    <w:rsid w:val="00A962BD"/>
    <w:rsid w:val="00AA408F"/>
    <w:rsid w:val="00AA4F93"/>
    <w:rsid w:val="00AA53ED"/>
    <w:rsid w:val="00AA5D41"/>
    <w:rsid w:val="00AA64F3"/>
    <w:rsid w:val="00AB305D"/>
    <w:rsid w:val="00AC1B82"/>
    <w:rsid w:val="00AC4CB5"/>
    <w:rsid w:val="00AD1A2E"/>
    <w:rsid w:val="00AD586E"/>
    <w:rsid w:val="00AE4325"/>
    <w:rsid w:val="00AF1C4A"/>
    <w:rsid w:val="00AF203E"/>
    <w:rsid w:val="00AF2A82"/>
    <w:rsid w:val="00AF4D85"/>
    <w:rsid w:val="00AF5C50"/>
    <w:rsid w:val="00B17A3B"/>
    <w:rsid w:val="00B25711"/>
    <w:rsid w:val="00B25EFD"/>
    <w:rsid w:val="00B34F41"/>
    <w:rsid w:val="00B42F81"/>
    <w:rsid w:val="00B46532"/>
    <w:rsid w:val="00B523BD"/>
    <w:rsid w:val="00B62C9C"/>
    <w:rsid w:val="00B6752E"/>
    <w:rsid w:val="00B91378"/>
    <w:rsid w:val="00BA766C"/>
    <w:rsid w:val="00BC1FA3"/>
    <w:rsid w:val="00BD6E79"/>
    <w:rsid w:val="00BE2D1C"/>
    <w:rsid w:val="00C15198"/>
    <w:rsid w:val="00C2049E"/>
    <w:rsid w:val="00C308C3"/>
    <w:rsid w:val="00C3451B"/>
    <w:rsid w:val="00C36C25"/>
    <w:rsid w:val="00C3716E"/>
    <w:rsid w:val="00C4112D"/>
    <w:rsid w:val="00C52FB2"/>
    <w:rsid w:val="00C54BD7"/>
    <w:rsid w:val="00C6283B"/>
    <w:rsid w:val="00C84F0C"/>
    <w:rsid w:val="00C940FC"/>
    <w:rsid w:val="00CA1674"/>
    <w:rsid w:val="00CC29DD"/>
    <w:rsid w:val="00CD44AD"/>
    <w:rsid w:val="00CD7595"/>
    <w:rsid w:val="00CF1F6D"/>
    <w:rsid w:val="00CF6AD6"/>
    <w:rsid w:val="00D10A28"/>
    <w:rsid w:val="00D12639"/>
    <w:rsid w:val="00D12D25"/>
    <w:rsid w:val="00D26887"/>
    <w:rsid w:val="00D37421"/>
    <w:rsid w:val="00D40728"/>
    <w:rsid w:val="00D46583"/>
    <w:rsid w:val="00D4763D"/>
    <w:rsid w:val="00D52AD7"/>
    <w:rsid w:val="00D5463C"/>
    <w:rsid w:val="00D74D98"/>
    <w:rsid w:val="00D77864"/>
    <w:rsid w:val="00D802BC"/>
    <w:rsid w:val="00D82490"/>
    <w:rsid w:val="00D86E0E"/>
    <w:rsid w:val="00D97715"/>
    <w:rsid w:val="00DA3DD0"/>
    <w:rsid w:val="00DB1300"/>
    <w:rsid w:val="00DB52FE"/>
    <w:rsid w:val="00DC474B"/>
    <w:rsid w:val="00DD3B52"/>
    <w:rsid w:val="00DE10B6"/>
    <w:rsid w:val="00DE3F39"/>
    <w:rsid w:val="00E10C1B"/>
    <w:rsid w:val="00E10CB1"/>
    <w:rsid w:val="00E21D5C"/>
    <w:rsid w:val="00E22E39"/>
    <w:rsid w:val="00E24383"/>
    <w:rsid w:val="00E4339D"/>
    <w:rsid w:val="00E46780"/>
    <w:rsid w:val="00E46CA8"/>
    <w:rsid w:val="00E503E7"/>
    <w:rsid w:val="00E57E98"/>
    <w:rsid w:val="00E84C68"/>
    <w:rsid w:val="00E957B3"/>
    <w:rsid w:val="00EA3C25"/>
    <w:rsid w:val="00EA6883"/>
    <w:rsid w:val="00EB542E"/>
    <w:rsid w:val="00EB67DA"/>
    <w:rsid w:val="00EB7561"/>
    <w:rsid w:val="00ED1CD4"/>
    <w:rsid w:val="00EF5DC0"/>
    <w:rsid w:val="00F00F50"/>
    <w:rsid w:val="00F100EB"/>
    <w:rsid w:val="00F1480C"/>
    <w:rsid w:val="00F2109B"/>
    <w:rsid w:val="00F33B72"/>
    <w:rsid w:val="00F417A1"/>
    <w:rsid w:val="00F42A60"/>
    <w:rsid w:val="00F53E5A"/>
    <w:rsid w:val="00F55016"/>
    <w:rsid w:val="00F73119"/>
    <w:rsid w:val="00F76474"/>
    <w:rsid w:val="00FA184A"/>
    <w:rsid w:val="00FA261A"/>
    <w:rsid w:val="00FC49A2"/>
    <w:rsid w:val="00FD56D6"/>
    <w:rsid w:val="00FD591E"/>
    <w:rsid w:val="00FD5F4B"/>
    <w:rsid w:val="00FF1EE3"/>
    <w:rsid w:val="012B306D"/>
    <w:rsid w:val="01D675F2"/>
    <w:rsid w:val="02900784"/>
    <w:rsid w:val="02C25D2B"/>
    <w:rsid w:val="02F84601"/>
    <w:rsid w:val="035167EB"/>
    <w:rsid w:val="03F3265B"/>
    <w:rsid w:val="045D1FFD"/>
    <w:rsid w:val="04753C6F"/>
    <w:rsid w:val="062846F2"/>
    <w:rsid w:val="062C6268"/>
    <w:rsid w:val="071835BD"/>
    <w:rsid w:val="07295326"/>
    <w:rsid w:val="081001ED"/>
    <w:rsid w:val="082912BE"/>
    <w:rsid w:val="08786AA1"/>
    <w:rsid w:val="098B50B5"/>
    <w:rsid w:val="0A1037F5"/>
    <w:rsid w:val="0A153EDC"/>
    <w:rsid w:val="0A506FE4"/>
    <w:rsid w:val="0A71133D"/>
    <w:rsid w:val="0AA237EB"/>
    <w:rsid w:val="0BBC6F6E"/>
    <w:rsid w:val="0CBD02E8"/>
    <w:rsid w:val="0D901A48"/>
    <w:rsid w:val="0DE0773F"/>
    <w:rsid w:val="0E2004CB"/>
    <w:rsid w:val="0E3B5A40"/>
    <w:rsid w:val="0ED25EA9"/>
    <w:rsid w:val="10A72429"/>
    <w:rsid w:val="10C94901"/>
    <w:rsid w:val="117E3E45"/>
    <w:rsid w:val="11916A84"/>
    <w:rsid w:val="12147912"/>
    <w:rsid w:val="12973868"/>
    <w:rsid w:val="131367D2"/>
    <w:rsid w:val="135C4C9A"/>
    <w:rsid w:val="138E3CB9"/>
    <w:rsid w:val="13974928"/>
    <w:rsid w:val="15967239"/>
    <w:rsid w:val="15A0228B"/>
    <w:rsid w:val="15E12B31"/>
    <w:rsid w:val="16A72D2C"/>
    <w:rsid w:val="170A5E2B"/>
    <w:rsid w:val="1770638B"/>
    <w:rsid w:val="187C28C3"/>
    <w:rsid w:val="18885F9B"/>
    <w:rsid w:val="19493977"/>
    <w:rsid w:val="19675F08"/>
    <w:rsid w:val="1BEB4357"/>
    <w:rsid w:val="1CE13ED6"/>
    <w:rsid w:val="1D3F71A4"/>
    <w:rsid w:val="1E3E4B20"/>
    <w:rsid w:val="1E5F143C"/>
    <w:rsid w:val="1EEB7707"/>
    <w:rsid w:val="1F592E4F"/>
    <w:rsid w:val="1F811EFC"/>
    <w:rsid w:val="1FE04B1C"/>
    <w:rsid w:val="200E4F1E"/>
    <w:rsid w:val="20724B65"/>
    <w:rsid w:val="23CD51F5"/>
    <w:rsid w:val="2401288A"/>
    <w:rsid w:val="24675259"/>
    <w:rsid w:val="24A80149"/>
    <w:rsid w:val="24DA4418"/>
    <w:rsid w:val="259A510D"/>
    <w:rsid w:val="26C567C9"/>
    <w:rsid w:val="287C259C"/>
    <w:rsid w:val="2894658D"/>
    <w:rsid w:val="2A3619BD"/>
    <w:rsid w:val="2B556D7F"/>
    <w:rsid w:val="2BC14590"/>
    <w:rsid w:val="2C9B7053"/>
    <w:rsid w:val="2C9E4769"/>
    <w:rsid w:val="2D257FFF"/>
    <w:rsid w:val="2E033397"/>
    <w:rsid w:val="2EBE5E2E"/>
    <w:rsid w:val="2F492547"/>
    <w:rsid w:val="2FEC15A6"/>
    <w:rsid w:val="300E7A66"/>
    <w:rsid w:val="308116F7"/>
    <w:rsid w:val="30AA728D"/>
    <w:rsid w:val="30B31A44"/>
    <w:rsid w:val="30D41814"/>
    <w:rsid w:val="328E3D98"/>
    <w:rsid w:val="333927E5"/>
    <w:rsid w:val="338E0A68"/>
    <w:rsid w:val="33FB59AF"/>
    <w:rsid w:val="34F9258F"/>
    <w:rsid w:val="35B9600B"/>
    <w:rsid w:val="3633421E"/>
    <w:rsid w:val="372534A7"/>
    <w:rsid w:val="375E1CD6"/>
    <w:rsid w:val="37C21482"/>
    <w:rsid w:val="38290F3C"/>
    <w:rsid w:val="39523A2C"/>
    <w:rsid w:val="396B5223"/>
    <w:rsid w:val="3A0351F2"/>
    <w:rsid w:val="3ACA5DC6"/>
    <w:rsid w:val="3BC33EED"/>
    <w:rsid w:val="3C094C1B"/>
    <w:rsid w:val="3CB8423A"/>
    <w:rsid w:val="3D197AE1"/>
    <w:rsid w:val="3F9A4411"/>
    <w:rsid w:val="41611BD5"/>
    <w:rsid w:val="419C7491"/>
    <w:rsid w:val="4254539C"/>
    <w:rsid w:val="42E53995"/>
    <w:rsid w:val="434367CA"/>
    <w:rsid w:val="44242107"/>
    <w:rsid w:val="44A366D3"/>
    <w:rsid w:val="455422ED"/>
    <w:rsid w:val="459F68EA"/>
    <w:rsid w:val="46B95441"/>
    <w:rsid w:val="46DE3C52"/>
    <w:rsid w:val="47C61C9A"/>
    <w:rsid w:val="487E10A8"/>
    <w:rsid w:val="49B97B1F"/>
    <w:rsid w:val="4A7F6AAA"/>
    <w:rsid w:val="4B616F49"/>
    <w:rsid w:val="4B970737"/>
    <w:rsid w:val="4DF5087E"/>
    <w:rsid w:val="4E780D44"/>
    <w:rsid w:val="5052773C"/>
    <w:rsid w:val="51225D07"/>
    <w:rsid w:val="51626647"/>
    <w:rsid w:val="520A5032"/>
    <w:rsid w:val="52C15236"/>
    <w:rsid w:val="537A50AB"/>
    <w:rsid w:val="537F70FD"/>
    <w:rsid w:val="53CF402F"/>
    <w:rsid w:val="541B6DAA"/>
    <w:rsid w:val="55F803F3"/>
    <w:rsid w:val="563461F8"/>
    <w:rsid w:val="56727ADF"/>
    <w:rsid w:val="58312B26"/>
    <w:rsid w:val="58D73337"/>
    <w:rsid w:val="59906523"/>
    <w:rsid w:val="599E4E0C"/>
    <w:rsid w:val="59E83AC8"/>
    <w:rsid w:val="5AE51B2A"/>
    <w:rsid w:val="5AFC3FD3"/>
    <w:rsid w:val="5D325130"/>
    <w:rsid w:val="5DAC3F6E"/>
    <w:rsid w:val="5FC77A6E"/>
    <w:rsid w:val="604709DC"/>
    <w:rsid w:val="613F5277"/>
    <w:rsid w:val="61452C88"/>
    <w:rsid w:val="616C035F"/>
    <w:rsid w:val="628228DB"/>
    <w:rsid w:val="63595209"/>
    <w:rsid w:val="640D6C3A"/>
    <w:rsid w:val="64203499"/>
    <w:rsid w:val="644560E2"/>
    <w:rsid w:val="6499493F"/>
    <w:rsid w:val="649D4F43"/>
    <w:rsid w:val="661C43E0"/>
    <w:rsid w:val="66680124"/>
    <w:rsid w:val="66CE18C1"/>
    <w:rsid w:val="66E34AD7"/>
    <w:rsid w:val="66FD6391"/>
    <w:rsid w:val="68324565"/>
    <w:rsid w:val="68CB2218"/>
    <w:rsid w:val="6913103D"/>
    <w:rsid w:val="69145ECE"/>
    <w:rsid w:val="69DB4B9C"/>
    <w:rsid w:val="69FC760E"/>
    <w:rsid w:val="6A4D4FCE"/>
    <w:rsid w:val="6A6970E5"/>
    <w:rsid w:val="6B575FB6"/>
    <w:rsid w:val="6B716D3B"/>
    <w:rsid w:val="6C333FA5"/>
    <w:rsid w:val="6D5337BA"/>
    <w:rsid w:val="6E342023"/>
    <w:rsid w:val="71EC6540"/>
    <w:rsid w:val="724305FA"/>
    <w:rsid w:val="72F012B5"/>
    <w:rsid w:val="73031253"/>
    <w:rsid w:val="74495483"/>
    <w:rsid w:val="744B5F19"/>
    <w:rsid w:val="74FF38CD"/>
    <w:rsid w:val="75270E54"/>
    <w:rsid w:val="75BD79BE"/>
    <w:rsid w:val="767A796C"/>
    <w:rsid w:val="77FF3405"/>
    <w:rsid w:val="7B455B1B"/>
    <w:rsid w:val="7C49311D"/>
    <w:rsid w:val="7D170795"/>
    <w:rsid w:val="7D294101"/>
    <w:rsid w:val="7D4F437D"/>
    <w:rsid w:val="7F231076"/>
    <w:rsid w:val="7F9105F0"/>
    <w:rsid w:val="7FFB6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7"/>
    <w:qFormat/>
    <w:uiPriority w:val="0"/>
    <w:pPr>
      <w:keepNext/>
      <w:keepLines/>
      <w:adjustRightInd w:val="0"/>
      <w:spacing w:before="340" w:after="330" w:line="578" w:lineRule="atLeast"/>
      <w:textAlignment w:val="baseline"/>
      <w:outlineLvl w:val="0"/>
    </w:pPr>
    <w:rPr>
      <w:b/>
      <w:kern w:val="44"/>
      <w:sz w:val="44"/>
    </w:rPr>
  </w:style>
  <w:style w:type="paragraph" w:styleId="3">
    <w:name w:val="heading 2"/>
    <w:basedOn w:val="1"/>
    <w:next w:val="1"/>
    <w:link w:val="85"/>
    <w:qFormat/>
    <w:uiPriority w:val="0"/>
    <w:pPr>
      <w:keepNext/>
      <w:keepLines/>
      <w:numPr>
        <w:ilvl w:val="1"/>
        <w:numId w:val="1"/>
      </w:numPr>
      <w:adjustRightInd w:val="0"/>
      <w:spacing w:before="260" w:after="260" w:line="416" w:lineRule="atLeast"/>
      <w:textAlignment w:val="baseline"/>
      <w:outlineLvl w:val="1"/>
    </w:pPr>
    <w:rPr>
      <w:rFonts w:ascii="Arial" w:hAnsi="Arial" w:eastAsia="黑体"/>
      <w:b/>
      <w:sz w:val="32"/>
    </w:rPr>
  </w:style>
  <w:style w:type="paragraph" w:styleId="4">
    <w:name w:val="heading 3"/>
    <w:basedOn w:val="1"/>
    <w:next w:val="1"/>
    <w:link w:val="120"/>
    <w:qFormat/>
    <w:uiPriority w:val="0"/>
    <w:pPr>
      <w:keepNext/>
      <w:keepLines/>
      <w:adjustRightInd w:val="0"/>
      <w:spacing w:before="260" w:after="260" w:line="416" w:lineRule="atLeast"/>
      <w:textAlignment w:val="baseline"/>
      <w:outlineLvl w:val="2"/>
    </w:pPr>
    <w:rPr>
      <w:b/>
      <w:sz w:val="32"/>
    </w:rPr>
  </w:style>
  <w:style w:type="paragraph" w:styleId="5">
    <w:name w:val="heading 4"/>
    <w:basedOn w:val="1"/>
    <w:next w:val="1"/>
    <w:link w:val="89"/>
    <w:qFormat/>
    <w:uiPriority w:val="0"/>
    <w:pPr>
      <w:keepNext/>
      <w:keepLines/>
      <w:adjustRightInd w:val="0"/>
      <w:spacing w:before="280" w:after="290" w:line="376" w:lineRule="atLeast"/>
      <w:textAlignment w:val="baseline"/>
      <w:outlineLvl w:val="3"/>
    </w:pPr>
    <w:rPr>
      <w:rFonts w:ascii="Arial" w:hAnsi="Arial" w:eastAsia="黑体"/>
      <w:b/>
      <w:sz w:val="28"/>
    </w:rPr>
  </w:style>
  <w:style w:type="paragraph" w:styleId="6">
    <w:name w:val="heading 5"/>
    <w:basedOn w:val="1"/>
    <w:next w:val="1"/>
    <w:link w:val="95"/>
    <w:qFormat/>
    <w:uiPriority w:val="0"/>
    <w:pPr>
      <w:keepNext/>
      <w:keepLines/>
      <w:adjustRightInd w:val="0"/>
      <w:spacing w:before="280" w:after="290" w:line="376" w:lineRule="atLeast"/>
      <w:textAlignment w:val="baseline"/>
      <w:outlineLvl w:val="4"/>
    </w:pPr>
    <w:rPr>
      <w:b/>
      <w:sz w:val="28"/>
    </w:rPr>
  </w:style>
  <w:style w:type="paragraph" w:styleId="7">
    <w:name w:val="heading 6"/>
    <w:basedOn w:val="1"/>
    <w:next w:val="1"/>
    <w:link w:val="81"/>
    <w:qFormat/>
    <w:uiPriority w:val="0"/>
    <w:pPr>
      <w:keepNext/>
      <w:keepLines/>
      <w:adjustRightInd w:val="0"/>
      <w:spacing w:before="240" w:after="64" w:line="320" w:lineRule="atLeast"/>
      <w:textAlignment w:val="baseline"/>
      <w:outlineLvl w:val="5"/>
    </w:pPr>
    <w:rPr>
      <w:rFonts w:ascii="Arial" w:hAnsi="Arial" w:eastAsia="黑体"/>
      <w:b/>
      <w:sz w:val="24"/>
    </w:rPr>
  </w:style>
  <w:style w:type="paragraph" w:styleId="8">
    <w:name w:val="heading 7"/>
    <w:basedOn w:val="1"/>
    <w:next w:val="1"/>
    <w:link w:val="86"/>
    <w:qFormat/>
    <w:uiPriority w:val="0"/>
    <w:pPr>
      <w:keepNext/>
      <w:keepLines/>
      <w:adjustRightInd w:val="0"/>
      <w:spacing w:before="240" w:after="64" w:line="320" w:lineRule="atLeast"/>
      <w:textAlignment w:val="baseline"/>
      <w:outlineLvl w:val="6"/>
    </w:pPr>
    <w:rPr>
      <w:b/>
      <w:sz w:val="24"/>
    </w:rPr>
  </w:style>
  <w:style w:type="paragraph" w:styleId="9">
    <w:name w:val="heading 8"/>
    <w:basedOn w:val="1"/>
    <w:next w:val="1"/>
    <w:link w:val="99"/>
    <w:qFormat/>
    <w:uiPriority w:val="0"/>
    <w:pPr>
      <w:keepNext/>
      <w:keepLines/>
      <w:adjustRightInd w:val="0"/>
      <w:spacing w:before="240" w:after="64" w:line="320" w:lineRule="atLeast"/>
      <w:textAlignment w:val="baseline"/>
      <w:outlineLvl w:val="7"/>
    </w:pPr>
    <w:rPr>
      <w:rFonts w:ascii="Arial" w:hAnsi="Arial" w:eastAsia="黑体"/>
      <w:sz w:val="24"/>
    </w:rPr>
  </w:style>
  <w:style w:type="paragraph" w:styleId="10">
    <w:name w:val="heading 9"/>
    <w:basedOn w:val="1"/>
    <w:next w:val="1"/>
    <w:link w:val="98"/>
    <w:qFormat/>
    <w:uiPriority w:val="0"/>
    <w:pPr>
      <w:keepNext/>
      <w:keepLines/>
      <w:adjustRightInd w:val="0"/>
      <w:spacing w:before="240" w:after="64" w:line="320" w:lineRule="atLeast"/>
      <w:textAlignment w:val="baseline"/>
      <w:outlineLvl w:val="8"/>
    </w:pPr>
    <w:rPr>
      <w:rFonts w:ascii="Arial" w:hAnsi="Arial" w:eastAsia="黑体"/>
    </w:rPr>
  </w:style>
  <w:style w:type="character" w:default="1" w:styleId="39">
    <w:name w:val="Default Paragraph Font"/>
    <w:semiHidden/>
    <w:unhideWhenUsed/>
    <w:qFormat/>
    <w:uiPriority w:val="1"/>
  </w:style>
  <w:style w:type="table" w:default="1" w:styleId="47">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qFormat/>
    <w:uiPriority w:val="0"/>
    <w:rPr>
      <w:b/>
      <w:bCs/>
    </w:rPr>
  </w:style>
  <w:style w:type="paragraph" w:styleId="12">
    <w:name w:val="annotation text"/>
    <w:basedOn w:val="1"/>
    <w:link w:val="125"/>
    <w:qFormat/>
    <w:uiPriority w:val="0"/>
    <w:pPr>
      <w:jc w:val="left"/>
    </w:pPr>
  </w:style>
  <w:style w:type="paragraph" w:styleId="13">
    <w:name w:val="toc 7"/>
    <w:basedOn w:val="1"/>
    <w:next w:val="1"/>
    <w:qFormat/>
    <w:uiPriority w:val="39"/>
    <w:pPr>
      <w:ind w:left="2520" w:leftChars="1200"/>
    </w:pPr>
  </w:style>
  <w:style w:type="paragraph" w:styleId="14">
    <w:name w:val="Normal Indent"/>
    <w:basedOn w:val="1"/>
    <w:qFormat/>
    <w:uiPriority w:val="0"/>
    <w:pPr>
      <w:ind w:firstLine="420"/>
    </w:pPr>
    <w:rPr>
      <w:szCs w:val="20"/>
    </w:rPr>
  </w:style>
  <w:style w:type="paragraph" w:styleId="15">
    <w:name w:val="List Bullet"/>
    <w:basedOn w:val="1"/>
    <w:qFormat/>
    <w:uiPriority w:val="0"/>
    <w:pPr>
      <w:ind w:firstLine="420" w:firstLineChars="200"/>
    </w:pPr>
    <w:rPr>
      <w:rFonts w:ascii="Arial" w:hAnsi="Arial"/>
      <w:color w:val="000000"/>
      <w:kern w:val="0"/>
      <w:szCs w:val="21"/>
    </w:rPr>
  </w:style>
  <w:style w:type="paragraph" w:styleId="16">
    <w:name w:val="Document Map"/>
    <w:basedOn w:val="1"/>
    <w:qFormat/>
    <w:uiPriority w:val="0"/>
    <w:pPr>
      <w:shd w:val="clear" w:color="auto" w:fill="000080"/>
    </w:pPr>
  </w:style>
  <w:style w:type="paragraph" w:styleId="17">
    <w:name w:val="Body Text 3"/>
    <w:basedOn w:val="1"/>
    <w:qFormat/>
    <w:uiPriority w:val="0"/>
    <w:rPr>
      <w:sz w:val="16"/>
      <w:szCs w:val="16"/>
    </w:rPr>
  </w:style>
  <w:style w:type="paragraph" w:styleId="18">
    <w:name w:val="Body Text"/>
    <w:basedOn w:val="1"/>
    <w:qFormat/>
    <w:uiPriority w:val="0"/>
    <w:pPr>
      <w:spacing w:line="360" w:lineRule="auto"/>
    </w:pPr>
    <w:rPr>
      <w:sz w:val="24"/>
      <w:szCs w:val="20"/>
    </w:rPr>
  </w:style>
  <w:style w:type="paragraph" w:styleId="19">
    <w:name w:val="Body Text Indent"/>
    <w:basedOn w:val="1"/>
    <w:qFormat/>
    <w:uiPriority w:val="0"/>
    <w:pPr>
      <w:adjustRightInd w:val="0"/>
      <w:snapToGrid w:val="0"/>
      <w:spacing w:line="400" w:lineRule="atLeast"/>
      <w:ind w:firstLine="480" w:firstLineChars="200"/>
    </w:pPr>
    <w:rPr>
      <w:rFonts w:ascii="仿宋_GB2312" w:hAnsi="宋体" w:eastAsia="仿宋_GB2312"/>
      <w:sz w:val="24"/>
    </w:rPr>
  </w:style>
  <w:style w:type="paragraph" w:styleId="20">
    <w:name w:val="toc 5"/>
    <w:basedOn w:val="1"/>
    <w:next w:val="1"/>
    <w:qFormat/>
    <w:uiPriority w:val="39"/>
    <w:pPr>
      <w:ind w:left="1680" w:leftChars="800"/>
    </w:pPr>
  </w:style>
  <w:style w:type="paragraph" w:styleId="21">
    <w:name w:val="toc 3"/>
    <w:basedOn w:val="1"/>
    <w:next w:val="1"/>
    <w:qFormat/>
    <w:uiPriority w:val="39"/>
    <w:pPr>
      <w:spacing w:line="300" w:lineRule="exact"/>
      <w:ind w:left="400" w:leftChars="400"/>
    </w:pPr>
    <w:rPr>
      <w:rFonts w:eastAsia="仿宋_GB2312"/>
    </w:rPr>
  </w:style>
  <w:style w:type="paragraph" w:styleId="22">
    <w:name w:val="Plain Text"/>
    <w:basedOn w:val="1"/>
    <w:link w:val="126"/>
    <w:qFormat/>
    <w:uiPriority w:val="0"/>
    <w:rPr>
      <w:rFonts w:ascii="宋体" w:hAnsi="Courier New"/>
    </w:rPr>
  </w:style>
  <w:style w:type="paragraph" w:styleId="23">
    <w:name w:val="toc 8"/>
    <w:basedOn w:val="1"/>
    <w:next w:val="1"/>
    <w:qFormat/>
    <w:uiPriority w:val="39"/>
    <w:pPr>
      <w:ind w:left="2940" w:leftChars="1400"/>
    </w:pPr>
  </w:style>
  <w:style w:type="paragraph" w:styleId="24">
    <w:name w:val="Date"/>
    <w:basedOn w:val="1"/>
    <w:next w:val="1"/>
    <w:link w:val="103"/>
    <w:qFormat/>
    <w:uiPriority w:val="0"/>
    <w:pPr>
      <w:ind w:left="100" w:leftChars="2500"/>
    </w:pPr>
    <w:rPr>
      <w:rFonts w:eastAsia="黑体"/>
      <w:b/>
      <w:spacing w:val="-2"/>
      <w:sz w:val="30"/>
    </w:rPr>
  </w:style>
  <w:style w:type="paragraph" w:styleId="25">
    <w:name w:val="Body Text Indent 2"/>
    <w:basedOn w:val="1"/>
    <w:qFormat/>
    <w:uiPriority w:val="0"/>
    <w:pPr>
      <w:adjustRightInd w:val="0"/>
      <w:snapToGrid w:val="0"/>
      <w:spacing w:line="440" w:lineRule="atLeast"/>
      <w:ind w:left="907" w:hanging="67"/>
      <w:jc w:val="left"/>
      <w:textAlignment w:val="center"/>
    </w:pPr>
    <w:rPr>
      <w:rFonts w:ascii="仿宋_GB2312" w:eastAsia="仿宋_GB2312"/>
      <w:b/>
      <w:sz w:val="24"/>
    </w:rPr>
  </w:style>
  <w:style w:type="paragraph" w:styleId="26">
    <w:name w:val="Balloon Text"/>
    <w:basedOn w:val="1"/>
    <w:qFormat/>
    <w:uiPriority w:val="0"/>
    <w:rPr>
      <w:sz w:val="18"/>
      <w:szCs w:val="18"/>
    </w:rPr>
  </w:style>
  <w:style w:type="paragraph" w:styleId="27">
    <w:name w:val="footer"/>
    <w:basedOn w:val="1"/>
    <w:link w:val="121"/>
    <w:qFormat/>
    <w:uiPriority w:val="0"/>
    <w:pPr>
      <w:tabs>
        <w:tab w:val="center" w:pos="4153"/>
        <w:tab w:val="right" w:pos="8306"/>
      </w:tabs>
      <w:snapToGrid w:val="0"/>
      <w:jc w:val="left"/>
    </w:pPr>
    <w:rPr>
      <w:sz w:val="18"/>
      <w:szCs w:val="18"/>
    </w:rPr>
  </w:style>
  <w:style w:type="paragraph" w:styleId="28">
    <w:name w:val="header"/>
    <w:basedOn w:val="1"/>
    <w:link w:val="93"/>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071"/>
      </w:tabs>
      <w:adjustRightInd w:val="0"/>
      <w:spacing w:beforeLines="50" w:line="400" w:lineRule="exact"/>
      <w:textAlignment w:val="baseline"/>
    </w:pPr>
    <w:rPr>
      <w:rFonts w:eastAsia="仿宋_GB2312"/>
      <w:b/>
      <w:kern w:val="0"/>
      <w:sz w:val="28"/>
      <w:szCs w:val="20"/>
    </w:rPr>
  </w:style>
  <w:style w:type="paragraph" w:styleId="30">
    <w:name w:val="toc 4"/>
    <w:basedOn w:val="1"/>
    <w:next w:val="1"/>
    <w:qFormat/>
    <w:uiPriority w:val="39"/>
    <w:pPr>
      <w:ind w:left="1260" w:leftChars="600"/>
    </w:pPr>
  </w:style>
  <w:style w:type="paragraph" w:styleId="31">
    <w:name w:val="toc 6"/>
    <w:basedOn w:val="1"/>
    <w:next w:val="1"/>
    <w:qFormat/>
    <w:uiPriority w:val="39"/>
    <w:pPr>
      <w:ind w:left="2100" w:leftChars="1000"/>
    </w:pPr>
  </w:style>
  <w:style w:type="paragraph" w:styleId="32">
    <w:name w:val="Body Text Indent 3"/>
    <w:basedOn w:val="1"/>
    <w:qFormat/>
    <w:uiPriority w:val="0"/>
    <w:pPr>
      <w:spacing w:line="420" w:lineRule="atLeast"/>
      <w:ind w:left="836"/>
    </w:pPr>
    <w:rPr>
      <w:rFonts w:ascii="仿宋_GB2312" w:hAnsi="宋体" w:eastAsia="仿宋_GB2312"/>
      <w:b/>
      <w:bCs/>
      <w:sz w:val="24"/>
    </w:rPr>
  </w:style>
  <w:style w:type="paragraph" w:styleId="33">
    <w:name w:val="table of figures"/>
    <w:basedOn w:val="1"/>
    <w:next w:val="1"/>
    <w:qFormat/>
    <w:uiPriority w:val="0"/>
    <w:pPr>
      <w:ind w:left="840" w:leftChars="200" w:hanging="420" w:hangingChars="200"/>
    </w:pPr>
  </w:style>
  <w:style w:type="paragraph" w:styleId="34">
    <w:name w:val="toc 2"/>
    <w:basedOn w:val="1"/>
    <w:next w:val="1"/>
    <w:qFormat/>
    <w:uiPriority w:val="39"/>
    <w:pPr>
      <w:ind w:left="420" w:leftChars="200"/>
    </w:pPr>
    <w:rPr>
      <w:rFonts w:eastAsia="仿宋_GB2312"/>
      <w:sz w:val="24"/>
    </w:rPr>
  </w:style>
  <w:style w:type="paragraph" w:styleId="35">
    <w:name w:val="toc 9"/>
    <w:basedOn w:val="1"/>
    <w:next w:val="1"/>
    <w:qFormat/>
    <w:uiPriority w:val="39"/>
    <w:pPr>
      <w:ind w:left="3360" w:leftChars="1600"/>
    </w:pPr>
  </w:style>
  <w:style w:type="paragraph" w:styleId="36">
    <w:name w:val="Body Text 2"/>
    <w:basedOn w:val="1"/>
    <w:link w:val="118"/>
    <w:qFormat/>
    <w:uiPriority w:val="0"/>
    <w:rPr>
      <w:rFonts w:ascii="Arial" w:hAnsi="Arial" w:cs="Arial"/>
      <w:color w:val="000000"/>
      <w:spacing w:val="10"/>
      <w:sz w:val="30"/>
    </w:rPr>
  </w:style>
  <w:style w:type="paragraph" w:styleId="3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Arial Unicode MS" w:cs="Arial"/>
      <w:kern w:val="0"/>
      <w:szCs w:val="21"/>
    </w:rPr>
  </w:style>
  <w:style w:type="paragraph" w:styleId="38">
    <w:name w:val="Normal (Web)"/>
    <w:basedOn w:val="1"/>
    <w:qFormat/>
    <w:uiPriority w:val="0"/>
    <w:pPr>
      <w:widowControl/>
      <w:spacing w:beforeAutospacing="1" w:afterAutospacing="1"/>
      <w:jc w:val="left"/>
    </w:pPr>
    <w:rPr>
      <w:rFonts w:ascii="宋体" w:hAnsi="宋体"/>
      <w:kern w:val="0"/>
      <w:sz w:val="24"/>
    </w:rPr>
  </w:style>
  <w:style w:type="character" w:styleId="40">
    <w:name w:val="Strong"/>
    <w:basedOn w:val="39"/>
    <w:qFormat/>
    <w:uiPriority w:val="0"/>
    <w:rPr>
      <w:b/>
      <w:bCs/>
    </w:rPr>
  </w:style>
  <w:style w:type="character" w:styleId="41">
    <w:name w:val="page number"/>
    <w:basedOn w:val="39"/>
    <w:qFormat/>
    <w:uiPriority w:val="0"/>
  </w:style>
  <w:style w:type="character" w:styleId="42">
    <w:name w:val="FollowedHyperlink"/>
    <w:basedOn w:val="39"/>
    <w:qFormat/>
    <w:uiPriority w:val="0"/>
    <w:rPr>
      <w:color w:val="800080"/>
      <w:u w:val="single"/>
    </w:rPr>
  </w:style>
  <w:style w:type="character" w:styleId="43">
    <w:name w:val="Emphasis"/>
    <w:basedOn w:val="39"/>
    <w:qFormat/>
    <w:uiPriority w:val="0"/>
    <w:rPr>
      <w:i/>
      <w:iCs/>
    </w:rPr>
  </w:style>
  <w:style w:type="character" w:styleId="44">
    <w:name w:val="Hyperlink"/>
    <w:basedOn w:val="39"/>
    <w:qFormat/>
    <w:uiPriority w:val="99"/>
    <w:rPr>
      <w:color w:val="0000FF"/>
      <w:u w:val="single"/>
    </w:rPr>
  </w:style>
  <w:style w:type="character" w:styleId="45">
    <w:name w:val="HTML Code"/>
    <w:basedOn w:val="39"/>
    <w:qFormat/>
    <w:uiPriority w:val="0"/>
    <w:rPr>
      <w:rFonts w:ascii="宋体" w:hAnsi="宋体" w:eastAsia="宋体" w:cs="宋体"/>
      <w:sz w:val="24"/>
      <w:szCs w:val="24"/>
    </w:rPr>
  </w:style>
  <w:style w:type="character" w:styleId="46">
    <w:name w:val="annotation reference"/>
    <w:basedOn w:val="39"/>
    <w:qFormat/>
    <w:uiPriority w:val="0"/>
    <w:rPr>
      <w:sz w:val="21"/>
      <w:szCs w:val="21"/>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9">
    <w:name w:val="flie遲ext"/>
    <w:qFormat/>
    <w:uiPriority w:val="0"/>
    <w:pPr>
      <w:widowControl w:val="0"/>
      <w:autoSpaceDE w:val="0"/>
      <w:autoSpaceDN w:val="0"/>
      <w:adjustRightInd w:val="0"/>
      <w:spacing w:line="280" w:lineRule="atLeast"/>
    </w:pPr>
    <w:rPr>
      <w:rFonts w:ascii="HelveticaCondensed" w:hAnsi="HelveticaCondensed" w:eastAsia="宋体" w:cs="Times New Roman"/>
      <w:color w:val="000000"/>
      <w:lang w:val="en-US" w:eastAsia="zh-CN" w:bidi="ar-SA"/>
    </w:rPr>
  </w:style>
  <w:style w:type="paragraph" w:customStyle="1" w:styleId="50">
    <w:name w:val="p0"/>
    <w:basedOn w:val="1"/>
    <w:qFormat/>
    <w:uiPriority w:val="0"/>
    <w:pPr>
      <w:widowControl/>
      <w:spacing w:beforeAutospacing="1" w:afterAutospacing="1"/>
      <w:jc w:val="left"/>
    </w:pPr>
    <w:rPr>
      <w:rFonts w:ascii="宋体" w:hAnsi="宋体" w:cs="宋体"/>
      <w:kern w:val="0"/>
      <w:sz w:val="24"/>
    </w:rPr>
  </w:style>
  <w:style w:type="paragraph" w:customStyle="1" w:styleId="51">
    <w:name w:val="Char Char Char"/>
    <w:basedOn w:val="1"/>
    <w:qFormat/>
    <w:uiPriority w:val="0"/>
    <w:rPr>
      <w:rFonts w:ascii="Tahoma" w:hAnsi="Tahoma"/>
      <w:sz w:val="24"/>
      <w:szCs w:val="20"/>
    </w:rPr>
  </w:style>
  <w:style w:type="paragraph" w:customStyle="1" w:styleId="52">
    <w:name w:val="p15"/>
    <w:basedOn w:val="1"/>
    <w:qFormat/>
    <w:uiPriority w:val="0"/>
    <w:pPr>
      <w:widowControl/>
      <w:spacing w:line="300" w:lineRule="auto"/>
      <w:ind w:firstLine="420"/>
    </w:pPr>
    <w:rPr>
      <w:kern w:val="0"/>
      <w:szCs w:val="21"/>
    </w:rPr>
  </w:style>
  <w:style w:type="paragraph" w:customStyle="1" w:styleId="53">
    <w:name w:val="Char"/>
    <w:basedOn w:val="1"/>
    <w:qFormat/>
    <w:uiPriority w:val="0"/>
    <w:rPr>
      <w:szCs w:val="20"/>
    </w:rPr>
  </w:style>
  <w:style w:type="paragraph" w:styleId="5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6">
    <w:name w:val="1"/>
    <w:basedOn w:val="1"/>
    <w:next w:val="22"/>
    <w:qFormat/>
    <w:uiPriority w:val="0"/>
    <w:rPr>
      <w:rFonts w:ascii="Courier New" w:hAnsi="Courier New"/>
      <w:szCs w:val="20"/>
    </w:rPr>
  </w:style>
  <w:style w:type="paragraph" w:customStyle="1" w:styleId="57">
    <w:name w:val="Char1"/>
    <w:basedOn w:val="1"/>
    <w:qFormat/>
    <w:uiPriority w:val="0"/>
    <w:pPr>
      <w:widowControl/>
      <w:spacing w:line="240" w:lineRule="exact"/>
      <w:jc w:val="left"/>
    </w:pPr>
    <w:rPr>
      <w:szCs w:val="20"/>
    </w:rPr>
  </w:style>
  <w:style w:type="paragraph" w:customStyle="1" w:styleId="58">
    <w:name w:val="Char11"/>
    <w:basedOn w:val="1"/>
    <w:qFormat/>
    <w:uiPriority w:val="0"/>
    <w:pPr>
      <w:widowControl/>
      <w:spacing w:line="240" w:lineRule="exact"/>
      <w:jc w:val="left"/>
    </w:pPr>
  </w:style>
  <w:style w:type="paragraph" w:customStyle="1" w:styleId="59">
    <w:name w:val="默认段落字体 Para Char Char Char Char"/>
    <w:basedOn w:val="1"/>
    <w:qFormat/>
    <w:uiPriority w:val="0"/>
  </w:style>
  <w:style w:type="paragraph" w:customStyle="1" w:styleId="60">
    <w:name w:val="Char Char Char1"/>
    <w:basedOn w:val="1"/>
    <w:qFormat/>
    <w:uiPriority w:val="0"/>
    <w:rPr>
      <w:rFonts w:ascii="Tahoma" w:hAnsi="Tahoma"/>
      <w:sz w:val="24"/>
      <w:szCs w:val="20"/>
    </w:rPr>
  </w:style>
  <w:style w:type="paragraph" w:styleId="61">
    <w:name w:val="List Paragraph"/>
    <w:basedOn w:val="1"/>
    <w:qFormat/>
    <w:uiPriority w:val="34"/>
    <w:pPr>
      <w:ind w:firstLine="420" w:firstLineChars="200"/>
    </w:pPr>
    <w:rPr>
      <w:rFonts w:ascii="Calibri" w:hAnsi="Calibri"/>
      <w:szCs w:val="22"/>
    </w:rPr>
  </w:style>
  <w:style w:type="paragraph" w:customStyle="1" w:styleId="62">
    <w:name w:val="默认段落字体 Para Char"/>
    <w:basedOn w:val="1"/>
    <w:qFormat/>
    <w:uiPriority w:val="0"/>
    <w:pPr>
      <w:adjustRightInd w:val="0"/>
      <w:spacing w:line="360" w:lineRule="auto"/>
    </w:pPr>
    <w:rPr>
      <w:kern w:val="0"/>
      <w:sz w:val="24"/>
      <w:szCs w:val="20"/>
    </w:rPr>
  </w:style>
  <w:style w:type="paragraph" w:customStyle="1" w:styleId="63">
    <w:name w:val="contents1"/>
    <w:basedOn w:val="1"/>
    <w:qFormat/>
    <w:uiPriority w:val="0"/>
    <w:pPr>
      <w:widowControl/>
      <w:spacing w:beforeAutospacing="1" w:afterAutospacing="1"/>
      <w:jc w:val="left"/>
    </w:pPr>
    <w:rPr>
      <w:rFonts w:ascii="宋体" w:hAnsi="宋体" w:cs="宋体"/>
      <w:color w:val="000000"/>
      <w:kern w:val="0"/>
      <w:sz w:val="24"/>
    </w:rPr>
  </w:style>
  <w:style w:type="paragraph" w:customStyle="1" w:styleId="64">
    <w:name w:val="t-red"/>
    <w:basedOn w:val="1"/>
    <w:qFormat/>
    <w:uiPriority w:val="0"/>
    <w:pPr>
      <w:widowControl/>
      <w:spacing w:beforeAutospacing="1" w:afterAutospacing="1"/>
      <w:jc w:val="left"/>
    </w:pPr>
    <w:rPr>
      <w:rFonts w:ascii="宋体" w:hAnsi="宋体" w:cs="宋体"/>
      <w:kern w:val="0"/>
      <w:sz w:val="24"/>
    </w:rPr>
  </w:style>
  <w:style w:type="paragraph" w:customStyle="1" w:styleId="65">
    <w:name w:val="Char Char Char Char Char Char Char"/>
    <w:basedOn w:val="1"/>
    <w:qFormat/>
    <w:uiPriority w:val="0"/>
    <w:rPr>
      <w:rFonts w:ascii="Tahoma" w:hAnsi="Tahoma"/>
      <w:sz w:val="24"/>
      <w:szCs w:val="20"/>
    </w:rPr>
  </w:style>
  <w:style w:type="paragraph" w:customStyle="1" w:styleId="66">
    <w:name w:val="itemlistintable"/>
    <w:basedOn w:val="1"/>
    <w:qFormat/>
    <w:uiPriority w:val="0"/>
    <w:pPr>
      <w:widowControl/>
      <w:spacing w:beforeAutospacing="1" w:afterAutospacing="1"/>
      <w:jc w:val="left"/>
    </w:pPr>
    <w:rPr>
      <w:rFonts w:ascii="宋体" w:hAnsi="宋体" w:cs="宋体"/>
      <w:kern w:val="0"/>
      <w:sz w:val="24"/>
    </w:rPr>
  </w:style>
  <w:style w:type="paragraph" w:customStyle="1" w:styleId="67">
    <w:name w:val="t-14b"/>
    <w:basedOn w:val="1"/>
    <w:qFormat/>
    <w:uiPriority w:val="0"/>
    <w:pPr>
      <w:widowControl/>
      <w:spacing w:beforeAutospacing="1" w:afterAutospacing="1" w:line="330" w:lineRule="atLeast"/>
      <w:jc w:val="left"/>
    </w:pPr>
    <w:rPr>
      <w:rFonts w:ascii="Verdana" w:hAnsi="Verdana" w:cs="宋体"/>
      <w:b/>
      <w:bCs/>
      <w:kern w:val="0"/>
      <w:szCs w:val="21"/>
    </w:rPr>
  </w:style>
  <w:style w:type="paragraph" w:customStyle="1" w:styleId="68">
    <w:name w:val="样式15"/>
    <w:basedOn w:val="1"/>
    <w:qFormat/>
    <w:uiPriority w:val="0"/>
    <w:pPr>
      <w:spacing w:line="520" w:lineRule="exact"/>
      <w:jc w:val="center"/>
    </w:pPr>
    <w:rPr>
      <w:rFonts w:ascii="华文楷体" w:hAnsi="华文楷体" w:eastAsia="华文楷体"/>
      <w:b/>
      <w:sz w:val="32"/>
      <w:szCs w:val="32"/>
    </w:rPr>
  </w:style>
  <w:style w:type="paragraph" w:customStyle="1" w:styleId="69">
    <w:name w:val="Char Char Char Char Char Char Char Char Char1"/>
    <w:basedOn w:val="1"/>
    <w:qFormat/>
    <w:uiPriority w:val="0"/>
    <w:pPr>
      <w:widowControl/>
      <w:spacing w:line="240" w:lineRule="exact"/>
      <w:jc w:val="left"/>
    </w:pPr>
    <w:rPr>
      <w:rFonts w:ascii="Verdana" w:hAnsi="Verdana"/>
      <w:kern w:val="0"/>
      <w:sz w:val="20"/>
      <w:szCs w:val="20"/>
      <w:lang w:eastAsia="en-US"/>
    </w:rPr>
  </w:style>
  <w:style w:type="paragraph" w:customStyle="1" w:styleId="70">
    <w:name w:val="Char2"/>
    <w:basedOn w:val="1"/>
    <w:qFormat/>
    <w:uiPriority w:val="0"/>
    <w:pPr>
      <w:tabs>
        <w:tab w:val="left" w:pos="840"/>
      </w:tabs>
      <w:ind w:left="840" w:hanging="420"/>
    </w:pPr>
    <w:rPr>
      <w:sz w:val="24"/>
    </w:rPr>
  </w:style>
  <w:style w:type="paragraph" w:customStyle="1" w:styleId="71">
    <w:name w:val="Char1 Char Char Char Char Char Char"/>
    <w:basedOn w:val="1"/>
    <w:qFormat/>
    <w:uiPriority w:val="0"/>
    <w:rPr>
      <w:rFonts w:ascii="Tahoma" w:hAnsi="Tahoma"/>
      <w:sz w:val="24"/>
      <w:szCs w:val="20"/>
    </w:rPr>
  </w:style>
  <w:style w:type="paragraph" w:customStyle="1" w:styleId="72">
    <w:name w:val="Char Char Char Char Char Char Char1"/>
    <w:basedOn w:val="1"/>
    <w:qFormat/>
    <w:uiPriority w:val="0"/>
    <w:pPr>
      <w:widowControl/>
      <w:spacing w:line="360" w:lineRule="auto"/>
      <w:ind w:firstLine="200" w:firstLineChars="200"/>
      <w:jc w:val="left"/>
    </w:pPr>
    <w:rPr>
      <w:rFonts w:ascii="Verdana" w:hAnsi="Verdana" w:eastAsia="黑体"/>
      <w:kern w:val="0"/>
      <w:szCs w:val="20"/>
      <w:lang w:eastAsia="en-US"/>
    </w:rPr>
  </w:style>
  <w:style w:type="paragraph" w:customStyle="1" w:styleId="73">
    <w:name w:val="规范正文"/>
    <w:basedOn w:val="1"/>
    <w:qFormat/>
    <w:uiPriority w:val="0"/>
    <w:pPr>
      <w:adjustRightInd w:val="0"/>
      <w:spacing w:line="360" w:lineRule="auto"/>
      <w:ind w:left="480"/>
      <w:textAlignment w:val="baseline"/>
    </w:pPr>
    <w:rPr>
      <w:kern w:val="0"/>
      <w:sz w:val="24"/>
      <w:szCs w:val="20"/>
    </w:rPr>
  </w:style>
  <w:style w:type="paragraph" w:customStyle="1" w:styleId="74">
    <w:name w:val="SADPOINT"/>
    <w:basedOn w:val="1"/>
    <w:qFormat/>
    <w:uiPriority w:val="0"/>
    <w:pPr>
      <w:widowControl/>
      <w:tabs>
        <w:tab w:val="right" w:pos="7655"/>
        <w:tab w:val="right" w:pos="8222"/>
      </w:tabs>
      <w:spacing w:line="240" w:lineRule="exact"/>
      <w:ind w:left="1702" w:right="1418" w:hanging="284"/>
    </w:pPr>
    <w:rPr>
      <w:rFonts w:ascii="Arial" w:hAnsi="Arial"/>
      <w:kern w:val="0"/>
      <w:sz w:val="22"/>
      <w:szCs w:val="20"/>
      <w:lang w:val="de-DE"/>
    </w:rPr>
  </w:style>
  <w:style w:type="paragraph" w:customStyle="1" w:styleId="75">
    <w:name w:val="Char Char Char Char Char Char Char Char Char Char"/>
    <w:basedOn w:val="1"/>
    <w:qFormat/>
    <w:uiPriority w:val="0"/>
    <w:pPr>
      <w:tabs>
        <w:tab w:val="left" w:pos="360"/>
      </w:tabs>
      <w:ind w:left="360" w:hanging="360" w:hangingChars="200"/>
    </w:pPr>
    <w:rPr>
      <w:sz w:val="24"/>
    </w:rPr>
  </w:style>
  <w:style w:type="paragraph" w:customStyle="1" w:styleId="76">
    <w:name w:val="xl32"/>
    <w:basedOn w:val="1"/>
    <w:qFormat/>
    <w:uiPriority w:val="0"/>
    <w:pPr>
      <w:widowControl/>
      <w:pBdr>
        <w:left w:val="single" w:color="auto" w:sz="4" w:space="0"/>
        <w:right w:val="single" w:color="auto" w:sz="4" w:space="0"/>
      </w:pBdr>
      <w:spacing w:beforeAutospacing="1" w:afterAutospacing="1"/>
      <w:jc w:val="center"/>
      <w:textAlignment w:val="top"/>
    </w:pPr>
    <w:rPr>
      <w:rFonts w:eastAsia="Arial Unicode MS"/>
      <w:kern w:val="0"/>
      <w:sz w:val="24"/>
    </w:rPr>
  </w:style>
  <w:style w:type="paragraph" w:customStyle="1" w:styleId="77">
    <w:name w:val="正文.表格"/>
    <w:basedOn w:val="1"/>
    <w:next w:val="1"/>
    <w:qFormat/>
    <w:uiPriority w:val="0"/>
    <w:pPr>
      <w:widowControl/>
      <w:jc w:val="center"/>
    </w:pPr>
    <w:rPr>
      <w:kern w:val="21"/>
      <w:szCs w:val="20"/>
    </w:rPr>
  </w:style>
  <w:style w:type="paragraph" w:customStyle="1" w:styleId="78">
    <w:name w:val="tabletext"/>
    <w:basedOn w:val="1"/>
    <w:qFormat/>
    <w:uiPriority w:val="0"/>
    <w:pPr>
      <w:widowControl/>
      <w:spacing w:beforeAutospacing="1" w:afterAutospacing="1"/>
      <w:jc w:val="left"/>
    </w:pPr>
    <w:rPr>
      <w:rFonts w:ascii="宋体" w:hAnsi="宋体" w:cs="宋体"/>
      <w:kern w:val="0"/>
      <w:sz w:val="24"/>
    </w:rPr>
  </w:style>
  <w:style w:type="character" w:customStyle="1" w:styleId="79">
    <w:name w:val="font101"/>
    <w:basedOn w:val="39"/>
    <w:qFormat/>
    <w:uiPriority w:val="0"/>
    <w:rPr>
      <w:rFonts w:hint="default" w:ascii="font-weight : 400" w:hAnsi="font-weight : 400" w:eastAsia="font-weight : 400" w:cs="font-weight : 400"/>
      <w:color w:val="000000"/>
      <w:sz w:val="18"/>
      <w:szCs w:val="18"/>
      <w:u w:val="none"/>
    </w:rPr>
  </w:style>
  <w:style w:type="character" w:customStyle="1" w:styleId="80">
    <w:name w:val="f16b1"/>
    <w:basedOn w:val="39"/>
    <w:qFormat/>
    <w:uiPriority w:val="0"/>
    <w:rPr>
      <w:b/>
      <w:bCs/>
      <w:color w:val="333333"/>
      <w:sz w:val="24"/>
      <w:szCs w:val="24"/>
    </w:rPr>
  </w:style>
  <w:style w:type="character" w:customStyle="1" w:styleId="81">
    <w:name w:val="标题 6 Char"/>
    <w:basedOn w:val="39"/>
    <w:link w:val="7"/>
    <w:qFormat/>
    <w:uiPriority w:val="0"/>
    <w:rPr>
      <w:rFonts w:ascii="Arial" w:hAnsi="Arial" w:eastAsia="黑体"/>
      <w:b/>
      <w:kern w:val="2"/>
      <w:sz w:val="24"/>
      <w:szCs w:val="24"/>
      <w:lang w:val="en-US" w:eastAsia="zh-CN" w:bidi="ar-SA"/>
    </w:rPr>
  </w:style>
  <w:style w:type="character" w:customStyle="1" w:styleId="82">
    <w:name w:val="bold gray"/>
    <w:basedOn w:val="39"/>
    <w:qFormat/>
    <w:uiPriority w:val="0"/>
  </w:style>
  <w:style w:type="character" w:customStyle="1" w:styleId="83">
    <w:name w:val="lineheigh"/>
    <w:basedOn w:val="39"/>
    <w:qFormat/>
    <w:uiPriority w:val="0"/>
  </w:style>
  <w:style w:type="character" w:customStyle="1" w:styleId="84">
    <w:name w:val="lineheigh201"/>
    <w:basedOn w:val="39"/>
    <w:qFormat/>
    <w:uiPriority w:val="0"/>
  </w:style>
  <w:style w:type="character" w:customStyle="1" w:styleId="85">
    <w:name w:val="标题 2 Char"/>
    <w:basedOn w:val="39"/>
    <w:link w:val="3"/>
    <w:qFormat/>
    <w:uiPriority w:val="0"/>
    <w:rPr>
      <w:rFonts w:ascii="Arial" w:hAnsi="Arial" w:eastAsia="黑体"/>
      <w:b/>
      <w:kern w:val="2"/>
      <w:sz w:val="32"/>
      <w:szCs w:val="24"/>
      <w:lang w:val="en-US" w:eastAsia="zh-CN" w:bidi="ar-SA"/>
    </w:rPr>
  </w:style>
  <w:style w:type="character" w:customStyle="1" w:styleId="86">
    <w:name w:val="标题 7 Char"/>
    <w:basedOn w:val="39"/>
    <w:link w:val="8"/>
    <w:qFormat/>
    <w:uiPriority w:val="0"/>
    <w:rPr>
      <w:rFonts w:eastAsia="宋体"/>
      <w:b/>
      <w:kern w:val="2"/>
      <w:sz w:val="24"/>
      <w:szCs w:val="24"/>
      <w:lang w:val="en-US" w:eastAsia="zh-CN" w:bidi="ar-SA"/>
    </w:rPr>
  </w:style>
  <w:style w:type="character" w:customStyle="1" w:styleId="87">
    <w:name w:val="css12"/>
    <w:basedOn w:val="39"/>
    <w:qFormat/>
    <w:uiPriority w:val="0"/>
  </w:style>
  <w:style w:type="character" w:customStyle="1" w:styleId="88">
    <w:name w:val="style41"/>
    <w:basedOn w:val="39"/>
    <w:qFormat/>
    <w:uiPriority w:val="0"/>
  </w:style>
  <w:style w:type="character" w:customStyle="1" w:styleId="89">
    <w:name w:val="标题 4 Char"/>
    <w:basedOn w:val="39"/>
    <w:link w:val="5"/>
    <w:qFormat/>
    <w:uiPriority w:val="0"/>
    <w:rPr>
      <w:rFonts w:ascii="Arial" w:hAnsi="Arial" w:eastAsia="黑体"/>
      <w:b/>
      <w:kern w:val="2"/>
      <w:sz w:val="28"/>
      <w:szCs w:val="24"/>
      <w:lang w:val="en-US" w:eastAsia="zh-CN" w:bidi="ar-SA"/>
    </w:rPr>
  </w:style>
  <w:style w:type="character" w:customStyle="1" w:styleId="90">
    <w:name w:val="Char Char15"/>
    <w:basedOn w:val="39"/>
    <w:qFormat/>
    <w:uiPriority w:val="0"/>
    <w:rPr>
      <w:rFonts w:eastAsia="宋体"/>
      <w:b/>
      <w:kern w:val="44"/>
      <w:sz w:val="44"/>
      <w:lang w:val="en-US" w:eastAsia="zh-CN" w:bidi="ar-SA"/>
    </w:rPr>
  </w:style>
  <w:style w:type="character" w:customStyle="1" w:styleId="91">
    <w:name w:val="aa"/>
    <w:basedOn w:val="39"/>
    <w:qFormat/>
    <w:uiPriority w:val="0"/>
  </w:style>
  <w:style w:type="character" w:customStyle="1" w:styleId="92">
    <w:name w:val="msonormal style29 style36"/>
    <w:basedOn w:val="39"/>
    <w:qFormat/>
    <w:uiPriority w:val="0"/>
  </w:style>
  <w:style w:type="character" w:customStyle="1" w:styleId="93">
    <w:name w:val="页眉 Char"/>
    <w:basedOn w:val="39"/>
    <w:link w:val="28"/>
    <w:qFormat/>
    <w:uiPriority w:val="0"/>
    <w:rPr>
      <w:rFonts w:eastAsia="宋体"/>
      <w:kern w:val="2"/>
      <w:sz w:val="18"/>
      <w:szCs w:val="18"/>
      <w:lang w:val="en-US" w:eastAsia="zh-CN" w:bidi="ar-SA"/>
    </w:rPr>
  </w:style>
  <w:style w:type="character" w:customStyle="1" w:styleId="94">
    <w:name w:val="pt10"/>
    <w:basedOn w:val="39"/>
    <w:qFormat/>
    <w:uiPriority w:val="0"/>
  </w:style>
  <w:style w:type="character" w:customStyle="1" w:styleId="95">
    <w:name w:val="标题 5 Char"/>
    <w:basedOn w:val="39"/>
    <w:link w:val="6"/>
    <w:qFormat/>
    <w:uiPriority w:val="0"/>
    <w:rPr>
      <w:rFonts w:eastAsia="宋体"/>
      <w:b/>
      <w:kern w:val="2"/>
      <w:sz w:val="28"/>
      <w:szCs w:val="24"/>
      <w:lang w:val="en-US" w:eastAsia="zh-CN" w:bidi="ar-SA"/>
    </w:rPr>
  </w:style>
  <w:style w:type="character" w:customStyle="1" w:styleId="96">
    <w:name w:val="12xz"/>
    <w:basedOn w:val="39"/>
    <w:qFormat/>
    <w:uiPriority w:val="0"/>
  </w:style>
  <w:style w:type="character" w:customStyle="1" w:styleId="97">
    <w:name w:val="font142001"/>
    <w:qFormat/>
    <w:uiPriority w:val="0"/>
    <w:rPr>
      <w:color w:val="999999"/>
      <w:sz w:val="21"/>
      <w:szCs w:val="21"/>
    </w:rPr>
  </w:style>
  <w:style w:type="character" w:customStyle="1" w:styleId="98">
    <w:name w:val="标题 9 Char"/>
    <w:basedOn w:val="39"/>
    <w:link w:val="10"/>
    <w:qFormat/>
    <w:uiPriority w:val="0"/>
    <w:rPr>
      <w:rFonts w:ascii="Arial" w:hAnsi="Arial" w:eastAsia="黑体"/>
      <w:kern w:val="2"/>
      <w:sz w:val="21"/>
      <w:szCs w:val="24"/>
      <w:lang w:val="en-US" w:eastAsia="zh-CN" w:bidi="ar-SA"/>
    </w:rPr>
  </w:style>
  <w:style w:type="character" w:customStyle="1" w:styleId="99">
    <w:name w:val="标题 8 Char"/>
    <w:basedOn w:val="39"/>
    <w:link w:val="9"/>
    <w:qFormat/>
    <w:uiPriority w:val="0"/>
    <w:rPr>
      <w:rFonts w:ascii="Arial" w:hAnsi="Arial" w:eastAsia="黑体"/>
      <w:kern w:val="2"/>
      <w:sz w:val="24"/>
      <w:szCs w:val="24"/>
      <w:lang w:val="en-US" w:eastAsia="zh-CN" w:bidi="ar-SA"/>
    </w:rPr>
  </w:style>
  <w:style w:type="character" w:customStyle="1" w:styleId="100">
    <w:name w:val="font01"/>
    <w:basedOn w:val="39"/>
    <w:qFormat/>
    <w:uiPriority w:val="0"/>
    <w:rPr>
      <w:rFonts w:ascii="font-weight : 400" w:hAnsi="font-weight : 400" w:eastAsia="font-weight : 400" w:cs="font-weight : 400"/>
      <w:color w:val="000000"/>
      <w:sz w:val="22"/>
      <w:szCs w:val="22"/>
      <w:u w:val="none"/>
    </w:rPr>
  </w:style>
  <w:style w:type="character" w:customStyle="1" w:styleId="101">
    <w:name w:val="b titlename wangputoptitle"/>
    <w:basedOn w:val="39"/>
    <w:qFormat/>
    <w:uiPriority w:val="0"/>
  </w:style>
  <w:style w:type="character" w:customStyle="1" w:styleId="102">
    <w:name w:val="font61"/>
    <w:basedOn w:val="39"/>
    <w:qFormat/>
    <w:uiPriority w:val="0"/>
    <w:rPr>
      <w:rFonts w:hint="default" w:ascii="Calibri" w:hAnsi="Calibri" w:cs="Calibri"/>
      <w:color w:val="000000"/>
      <w:sz w:val="21"/>
      <w:szCs w:val="21"/>
      <w:u w:val="none"/>
    </w:rPr>
  </w:style>
  <w:style w:type="character" w:customStyle="1" w:styleId="103">
    <w:name w:val="日期 Char"/>
    <w:basedOn w:val="39"/>
    <w:link w:val="24"/>
    <w:qFormat/>
    <w:uiPriority w:val="0"/>
    <w:rPr>
      <w:rFonts w:eastAsia="黑体"/>
      <w:b/>
      <w:spacing w:val="-2"/>
      <w:kern w:val="2"/>
      <w:sz w:val="30"/>
      <w:szCs w:val="24"/>
      <w:lang w:val="en-US" w:eastAsia="zh-CN" w:bidi="ar-SA"/>
    </w:rPr>
  </w:style>
  <w:style w:type="character" w:customStyle="1" w:styleId="104">
    <w:name w:val="fieldtext"/>
    <w:basedOn w:val="39"/>
    <w:qFormat/>
    <w:uiPriority w:val="0"/>
  </w:style>
  <w:style w:type="character" w:customStyle="1" w:styleId="105">
    <w:name w:val="wd12hei221"/>
    <w:basedOn w:val="39"/>
    <w:qFormat/>
    <w:uiPriority w:val="0"/>
    <w:rPr>
      <w:color w:val="000000"/>
      <w:sz w:val="18"/>
      <w:szCs w:val="18"/>
      <w:u w:val="none"/>
    </w:rPr>
  </w:style>
  <w:style w:type="character" w:customStyle="1" w:styleId="106">
    <w:name w:val="body1"/>
    <w:basedOn w:val="39"/>
    <w:qFormat/>
    <w:uiPriority w:val="0"/>
    <w:rPr>
      <w:rFonts w:hint="default" w:ascii="Verdana" w:hAnsi="Verdana"/>
      <w:color w:val="000000"/>
      <w:sz w:val="19"/>
      <w:szCs w:val="19"/>
    </w:rPr>
  </w:style>
  <w:style w:type="character" w:customStyle="1" w:styleId="107">
    <w:name w:val="标题 1 Char"/>
    <w:basedOn w:val="39"/>
    <w:link w:val="2"/>
    <w:qFormat/>
    <w:uiPriority w:val="0"/>
    <w:rPr>
      <w:rFonts w:eastAsia="宋体"/>
      <w:b/>
      <w:kern w:val="44"/>
      <w:sz w:val="44"/>
      <w:szCs w:val="24"/>
      <w:lang w:val="en-US" w:eastAsia="zh-CN" w:bidi="ar-SA"/>
    </w:rPr>
  </w:style>
  <w:style w:type="character" w:customStyle="1" w:styleId="108">
    <w:name w:val="font11"/>
    <w:basedOn w:val="39"/>
    <w:qFormat/>
    <w:uiPriority w:val="0"/>
    <w:rPr>
      <w:rFonts w:hint="eastAsia" w:ascii="宋体" w:hAnsi="宋体" w:eastAsia="宋体" w:cs="宋体"/>
      <w:color w:val="000000"/>
      <w:sz w:val="21"/>
      <w:szCs w:val="21"/>
      <w:u w:val="none"/>
    </w:rPr>
  </w:style>
  <w:style w:type="character" w:customStyle="1" w:styleId="109">
    <w:name w:val="xl23"/>
    <w:basedOn w:val="39"/>
    <w:qFormat/>
    <w:uiPriority w:val="0"/>
  </w:style>
  <w:style w:type="character" w:customStyle="1" w:styleId="110">
    <w:name w:val="Char Char12"/>
    <w:basedOn w:val="39"/>
    <w:qFormat/>
    <w:uiPriority w:val="0"/>
    <w:rPr>
      <w:rFonts w:ascii="Arial" w:hAnsi="Arial" w:eastAsia="黑体"/>
      <w:sz w:val="24"/>
      <w:lang w:val="en-US" w:eastAsia="zh-CN" w:bidi="ar-SA"/>
    </w:rPr>
  </w:style>
  <w:style w:type="character" w:customStyle="1" w:styleId="111">
    <w:name w:val="style71"/>
    <w:basedOn w:val="39"/>
    <w:qFormat/>
    <w:uiPriority w:val="0"/>
    <w:rPr>
      <w:rFonts w:hint="eastAsia" w:ascii="新宋体" w:hAnsi="新宋体" w:eastAsia="新宋体"/>
      <w:b/>
      <w:bCs/>
      <w:color w:val="666666"/>
      <w:sz w:val="21"/>
      <w:szCs w:val="21"/>
    </w:rPr>
  </w:style>
  <w:style w:type="character" w:customStyle="1" w:styleId="112">
    <w:name w:val="Char Char11"/>
    <w:basedOn w:val="39"/>
    <w:qFormat/>
    <w:uiPriority w:val="0"/>
    <w:rPr>
      <w:rFonts w:ascii="Arial" w:hAnsi="Arial" w:eastAsia="黑体"/>
      <w:sz w:val="21"/>
      <w:lang w:val="en-US" w:eastAsia="zh-CN" w:bidi="ar-SA"/>
    </w:rPr>
  </w:style>
  <w:style w:type="character" w:customStyle="1" w:styleId="113">
    <w:name w:val="Char Char14"/>
    <w:basedOn w:val="39"/>
    <w:qFormat/>
    <w:uiPriority w:val="0"/>
    <w:rPr>
      <w:rFonts w:ascii="Arial" w:hAnsi="Arial" w:eastAsia="黑体"/>
      <w:b/>
      <w:sz w:val="24"/>
      <w:lang w:val="en-US" w:eastAsia="zh-CN" w:bidi="ar-SA"/>
    </w:rPr>
  </w:style>
  <w:style w:type="character" w:customStyle="1" w:styleId="114">
    <w:name w:val="Char Char13"/>
    <w:basedOn w:val="39"/>
    <w:qFormat/>
    <w:uiPriority w:val="0"/>
    <w:rPr>
      <w:rFonts w:eastAsia="宋体"/>
      <w:b/>
      <w:sz w:val="24"/>
      <w:lang w:val="en-US" w:eastAsia="zh-CN" w:bidi="ar-SA"/>
    </w:rPr>
  </w:style>
  <w:style w:type="character" w:customStyle="1" w:styleId="115">
    <w:name w:val="small"/>
    <w:basedOn w:val="39"/>
    <w:qFormat/>
    <w:uiPriority w:val="0"/>
  </w:style>
  <w:style w:type="character" w:customStyle="1" w:styleId="116">
    <w:name w:val="hei16b1"/>
    <w:basedOn w:val="39"/>
    <w:qFormat/>
    <w:uiPriority w:val="0"/>
    <w:rPr>
      <w:rFonts w:hint="default" w:ascii="Arial" w:hAnsi="Arial" w:cs="Arial"/>
      <w:b/>
      <w:bCs/>
      <w:color w:val="000000"/>
      <w:sz w:val="24"/>
      <w:szCs w:val="24"/>
    </w:rPr>
  </w:style>
  <w:style w:type="character" w:customStyle="1" w:styleId="117">
    <w:name w:val="breakword"/>
    <w:basedOn w:val="39"/>
    <w:qFormat/>
    <w:uiPriority w:val="0"/>
  </w:style>
  <w:style w:type="character" w:customStyle="1" w:styleId="118">
    <w:name w:val="正文文本 2 Char"/>
    <w:basedOn w:val="39"/>
    <w:link w:val="36"/>
    <w:qFormat/>
    <w:uiPriority w:val="0"/>
    <w:rPr>
      <w:rFonts w:ascii="Arial" w:hAnsi="Arial" w:eastAsia="宋体" w:cs="Arial"/>
      <w:color w:val="000000"/>
      <w:spacing w:val="10"/>
      <w:kern w:val="2"/>
      <w:sz w:val="30"/>
      <w:szCs w:val="24"/>
      <w:lang w:val="en-US" w:eastAsia="zh-CN" w:bidi="ar-SA"/>
    </w:rPr>
  </w:style>
  <w:style w:type="character" w:customStyle="1" w:styleId="119">
    <w:name w:val="font21"/>
    <w:basedOn w:val="39"/>
    <w:qFormat/>
    <w:uiPriority w:val="0"/>
    <w:rPr>
      <w:rFonts w:hint="eastAsia" w:ascii="宋体" w:hAnsi="宋体" w:eastAsia="宋体" w:cs="宋体"/>
      <w:color w:val="000000"/>
      <w:sz w:val="22"/>
      <w:szCs w:val="22"/>
      <w:u w:val="none"/>
    </w:rPr>
  </w:style>
  <w:style w:type="character" w:customStyle="1" w:styleId="120">
    <w:name w:val="标题 3 Char"/>
    <w:basedOn w:val="39"/>
    <w:link w:val="4"/>
    <w:qFormat/>
    <w:uiPriority w:val="0"/>
    <w:rPr>
      <w:rFonts w:eastAsia="宋体"/>
      <w:b/>
      <w:kern w:val="2"/>
      <w:sz w:val="32"/>
      <w:szCs w:val="24"/>
      <w:lang w:val="en-US" w:eastAsia="zh-CN" w:bidi="ar-SA"/>
    </w:rPr>
  </w:style>
  <w:style w:type="character" w:customStyle="1" w:styleId="121">
    <w:name w:val="页脚 Char"/>
    <w:basedOn w:val="39"/>
    <w:link w:val="27"/>
    <w:qFormat/>
    <w:uiPriority w:val="0"/>
    <w:rPr>
      <w:rFonts w:eastAsia="宋体"/>
      <w:kern w:val="2"/>
      <w:sz w:val="18"/>
      <w:szCs w:val="18"/>
      <w:lang w:val="en-US" w:eastAsia="zh-CN" w:bidi="ar-SA"/>
    </w:rPr>
  </w:style>
  <w:style w:type="character" w:customStyle="1" w:styleId="122">
    <w:name w:val="style91"/>
    <w:basedOn w:val="39"/>
    <w:qFormat/>
    <w:uiPriority w:val="0"/>
    <w:rPr>
      <w:rFonts w:hint="eastAsia" w:ascii="新宋体" w:hAnsi="新宋体" w:eastAsia="新宋体"/>
      <w:sz w:val="21"/>
      <w:szCs w:val="21"/>
    </w:rPr>
  </w:style>
  <w:style w:type="character" w:customStyle="1" w:styleId="123">
    <w:name w:val="unnamed11"/>
    <w:basedOn w:val="39"/>
    <w:qFormat/>
    <w:uiPriority w:val="0"/>
    <w:rPr>
      <w:color w:val="000000"/>
      <w:sz w:val="20"/>
      <w:szCs w:val="20"/>
    </w:rPr>
  </w:style>
  <w:style w:type="character" w:customStyle="1" w:styleId="124">
    <w:name w:val="font81"/>
    <w:basedOn w:val="39"/>
    <w:qFormat/>
    <w:uiPriority w:val="0"/>
    <w:rPr>
      <w:rFonts w:ascii="font-weight : 400" w:hAnsi="font-weight : 400" w:eastAsia="font-weight : 400" w:cs="font-weight : 400"/>
      <w:color w:val="000000"/>
      <w:sz w:val="21"/>
      <w:szCs w:val="21"/>
      <w:u w:val="none"/>
    </w:rPr>
  </w:style>
  <w:style w:type="character" w:customStyle="1" w:styleId="125">
    <w:name w:val="批注文字 Char"/>
    <w:basedOn w:val="39"/>
    <w:link w:val="12"/>
    <w:qFormat/>
    <w:uiPriority w:val="0"/>
    <w:rPr>
      <w:rFonts w:eastAsia="宋体"/>
      <w:kern w:val="2"/>
      <w:sz w:val="21"/>
      <w:szCs w:val="24"/>
      <w:lang w:val="en-US" w:eastAsia="zh-CN" w:bidi="ar-SA"/>
    </w:rPr>
  </w:style>
  <w:style w:type="character" w:customStyle="1" w:styleId="126">
    <w:name w:val="纯文本 Char"/>
    <w:basedOn w:val="39"/>
    <w:link w:val="22"/>
    <w:qFormat/>
    <w:uiPriority w:val="0"/>
    <w:rPr>
      <w:rFonts w:ascii="宋体" w:hAnsi="Courier New" w:eastAsia="宋体"/>
      <w:kern w:val="2"/>
      <w:sz w:val="21"/>
      <w:lang w:val="en-US" w:eastAsia="zh-CN" w:bidi="ar-SA"/>
    </w:rPr>
  </w:style>
  <w:style w:type="paragraph" w:customStyle="1" w:styleId="127">
    <w:name w:val="Heading 2"/>
    <w:basedOn w:val="1"/>
    <w:qFormat/>
    <w:uiPriority w:val="1"/>
    <w:pPr>
      <w:jc w:val="center"/>
      <w:outlineLvl w:val="2"/>
    </w:pPr>
    <w:rPr>
      <w:b/>
      <w:bCs/>
      <w:sz w:val="36"/>
      <w:szCs w:val="36"/>
    </w:rPr>
  </w:style>
  <w:style w:type="paragraph" w:customStyle="1" w:styleId="128">
    <w:name w:val="Heading 4"/>
    <w:basedOn w:val="1"/>
    <w:qFormat/>
    <w:uiPriority w:val="1"/>
    <w:pPr>
      <w:outlineLvl w:val="4"/>
    </w:pPr>
    <w:rPr>
      <w:b/>
      <w:bCs/>
      <w:sz w:val="30"/>
      <w:szCs w:val="30"/>
    </w:rPr>
  </w:style>
  <w:style w:type="paragraph" w:customStyle="1" w:styleId="12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zbc</Company>
  <Pages>36</Pages>
  <Words>3631</Words>
  <Characters>20701</Characters>
  <Lines>172</Lines>
  <Paragraphs>48</Paragraphs>
  <TotalTime>366</TotalTime>
  <ScaleCrop>false</ScaleCrop>
  <LinksUpToDate>false</LinksUpToDate>
  <CharactersWithSpaces>24284</CharactersWithSpaces>
  <Application>WPS Office_10.1.0.7643_F1E327BC-269C-435d-A152-05C5408002CA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2018-11-08T07:10:00Z</dcterms:created>
  <dc:creator>lzr</dc:creator>
  <cp:lastModifiedBy>校辉</cp:lastModifiedBy>
  <cp:lastPrinted>2018-11-08T02:26:00Z</cp:lastPrinted>
  <dcterms:modified xsi:type="dcterms:W3CDTF">2018-11-08T09:52:59Z</dcterms:modified>
  <dc:title>中华人民共和国</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2052-10.1.0.7643</vt:lpwstr>
  </property>
</Properties>
</file>