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hint="eastAsia" w:ascii="Times New Roman" w:hAnsi="Times New Roman"/>
          <w:b/>
          <w:sz w:val="28"/>
          <w:szCs w:val="28"/>
        </w:rPr>
        <w:t>附件 2：报名须知</w:t>
      </w:r>
    </w:p>
    <w:bookmarkEnd w:id="0"/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1、团队自由组合，每个小组6-10人；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2、每个团队须有一名指导老师；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3、校内选拔赛报名地点为各高校组委会；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4、报名形式：现场报名</w:t>
      </w:r>
      <w:r>
        <w:rPr>
          <w:rFonts w:ascii="Times New Roman" w:hAnsi="Times New Roman"/>
          <w:sz w:val="28"/>
          <w:szCs w:val="28"/>
        </w:rPr>
        <w:t>与邮箱报名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“察尔汗杯”第九届湖南省大学生营销策划大赛报名表</w:t>
      </w:r>
    </w:p>
    <w:p>
      <w:pPr>
        <w:ind w:firstLine="138" w:firstLineChars="49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学校名称：</w:t>
      </w:r>
    </w:p>
    <w:tbl>
      <w:tblPr>
        <w:tblStyle w:val="3"/>
        <w:tblW w:w="8312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134"/>
        <w:gridCol w:w="1134"/>
        <w:gridCol w:w="2126"/>
        <w:gridCol w:w="23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团队名称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联系邮箱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成员名单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指导老师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8312" w:type="dxa"/>
            <w:gridSpan w:val="5"/>
          </w:tcPr>
          <w:p>
            <w:pPr>
              <w:ind w:firstLine="560" w:firstLineChars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要求：</w:t>
            </w:r>
          </w:p>
          <w:p>
            <w:pPr>
              <w:pStyle w:val="4"/>
              <w:numPr>
                <w:ilvl w:val="0"/>
                <w:numId w:val="1"/>
              </w:numPr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团队参赛</w:t>
            </w:r>
          </w:p>
          <w:p>
            <w:pPr>
              <w:pStyle w:val="4"/>
              <w:numPr>
                <w:ilvl w:val="0"/>
                <w:numId w:val="1"/>
              </w:numPr>
              <w:ind w:firstLine="0" w:firstLineChars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鼓励跨专业组队，鼓励创意天才、演讲天才、文案天才、互联网推广天才组合参赛。</w:t>
            </w:r>
          </w:p>
          <w:p>
            <w:pPr>
              <w:pStyle w:val="4"/>
              <w:numPr>
                <w:ilvl w:val="0"/>
                <w:numId w:val="1"/>
              </w:numPr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参赛人员必须保证填写内容真实有效</w:t>
            </w:r>
          </w:p>
        </w:tc>
      </w:tr>
    </w:tbl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附件3：校内决赛评分细则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评分内容分为现场部分和书面部分，书面部分占30分，实施效果展示占30分，现场部分占40分，合计100分。</w:t>
      </w:r>
    </w:p>
    <w:p>
      <w:pPr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1.决赛作品奖项评分标准：</w:t>
      </w:r>
    </w:p>
    <w:p>
      <w:pPr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（1）书面部分（30分）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书面部分包括策划内容、策划逻辑、作品包装与整体印象四个部分，各部分分值所占比例如下：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a.策划内容（5分）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b.PPT部分（15分）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包括创新性、、完整性、可操作性三个部分，各部分分值所占比例如下：创新性（5分）、完整性（5分）、可操作性（5分）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c.策划逻辑（5分）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d.作品包装、整体印象（5分）</w:t>
      </w:r>
    </w:p>
    <w:p>
      <w:pPr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（2）实施效果（30分）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实施效果包括用户关注度、销售效果、用户评价四个部分，各部分分值所占比例如下：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a.用户关注度（5分）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b.网络链接（5分）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c.销售效果（15分）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d.用户评价（5分）</w:t>
      </w:r>
    </w:p>
    <w:p>
      <w:pPr>
        <w:ind w:firstLine="562" w:firstLineChars="200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（3）现场部分（40分）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评分由仪表与精神面貌、课件的演示与解说、团队协作和评委提问四个部分组成，各部分分值所占比例如下：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仪表与精神面貌（5分）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要求:服装整齐统一；有特色、创意，能够体现主题；全队精神饱满、仪表端庄得体。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课件的演示与解说（15分）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要求:运用电脑多媒体对有关企业的内容作演示并作相关的解说；演示者语言运用准确、连接自然有序、表达清晰、重点突出；复赛的实施效果展示完整；能按时间规定完成各环节。（注：陈述时间不超过6分钟，超时每分钟扣一分，现场评委选手答辩不受此规定限制，时间控制在6分钟以内。）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团队协作（10分）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要求:整个演讲、分析过程全队员都参与其中，分工合理且能力互补，体现默契，从团队成员的表达中体现出配合与信心。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评委及现场观众提问（10分）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要求:团队成员能够准确把握评委及现场观众的意思，回答时语言简洁清楚，逻辑性强。时间控制在6分钟以内。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4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2018-03-20T12:35:45Z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